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FC41E0"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FC281D">
        <w:rPr>
          <w:rFonts w:ascii="Times New Roman" w:hAnsi="Times New Roman"/>
        </w:rPr>
        <w:t xml:space="preserve"> </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FC41E0" w:rsidP="00F20D92">
      <w:pPr>
        <w:spacing w:after="0"/>
        <w:ind w:left="6379"/>
        <w:rPr>
          <w:rFonts w:ascii="Times New Roman" w:hAnsi="Times New Roman"/>
        </w:rPr>
      </w:pPr>
      <w:r>
        <w:rPr>
          <w:rFonts w:ascii="Times New Roman" w:hAnsi="Times New Roman"/>
        </w:rPr>
        <w:t>А.В. 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C856B5">
        <w:rPr>
          <w:rFonts w:ascii="Times New Roman" w:hAnsi="Times New Roman"/>
        </w:rPr>
        <w:t>18</w:t>
      </w:r>
      <w:r w:rsidR="00B31E5E">
        <w:rPr>
          <w:rFonts w:ascii="Times New Roman" w:hAnsi="Times New Roman"/>
        </w:rPr>
        <w:t>»</w:t>
      </w:r>
      <w:r>
        <w:rPr>
          <w:rFonts w:ascii="Times New Roman" w:hAnsi="Times New Roman"/>
        </w:rPr>
        <w:t xml:space="preserve"> </w:t>
      </w:r>
      <w:r w:rsidR="00C856B5">
        <w:rPr>
          <w:rFonts w:ascii="Times New Roman" w:hAnsi="Times New Roman"/>
        </w:rPr>
        <w:t>декабря</w:t>
      </w:r>
      <w:r w:rsidR="00FC41E0">
        <w:rPr>
          <w:rFonts w:ascii="Times New Roman" w:hAnsi="Times New Roman"/>
        </w:rPr>
        <w:t xml:space="preserve"> </w:t>
      </w:r>
      <w:r w:rsidR="00025754">
        <w:rPr>
          <w:rFonts w:ascii="Times New Roman" w:hAnsi="Times New Roman"/>
        </w:rPr>
        <w:t>20</w:t>
      </w:r>
      <w:r w:rsidR="00D04506">
        <w:rPr>
          <w:rFonts w:ascii="Times New Roman" w:hAnsi="Times New Roman"/>
        </w:rPr>
        <w:t>2</w:t>
      </w:r>
      <w:r w:rsidR="003B1063">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2415CC">
        <w:rPr>
          <w:rFonts w:ascii="Times New Roman" w:hAnsi="Times New Roman"/>
          <w:b/>
          <w:bCs/>
          <w:sz w:val="24"/>
          <w:szCs w:val="24"/>
        </w:rPr>
        <w:t>1</w:t>
      </w:r>
      <w:r w:rsidR="00C856B5">
        <w:rPr>
          <w:rFonts w:ascii="Times New Roman" w:hAnsi="Times New Roman"/>
          <w:b/>
          <w:bCs/>
          <w:sz w:val="24"/>
          <w:szCs w:val="24"/>
        </w:rPr>
        <w:t>8</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3B1063">
        <w:rPr>
          <w:szCs w:val="24"/>
        </w:rPr>
        <w:t>3</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w:t>
      </w:r>
      <w:r w:rsidRPr="006E7AE0">
        <w:lastRenderedPageBreak/>
        <w:t>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5C7746">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lastRenderedPageBreak/>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3B1063">
      <w:pPr>
        <w:pStyle w:val="a2"/>
        <w:numPr>
          <w:ilvl w:val="0"/>
          <w:numId w:val="0"/>
        </w:numPr>
        <w:spacing w:before="0" w:after="0" w:line="240" w:lineRule="auto"/>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3B1063">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5C7746">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5C7746">
        <w:t>1</w:t>
      </w:r>
      <w:r>
        <w:fldChar w:fldCharType="end"/>
      </w:r>
      <w:r>
        <w:t xml:space="preserve"> Информационной карты (далее – закупка).</w:t>
      </w:r>
    </w:p>
    <w:p w:rsidR="00C64E47" w:rsidRDefault="00C64E47" w:rsidP="003B1063">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3B1063">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3B1063">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3B1063">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3B1063">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3B1063">
      <w:pPr>
        <w:pStyle w:val="a3"/>
        <w:numPr>
          <w:ilvl w:val="0"/>
          <w:numId w:val="0"/>
        </w:numPr>
      </w:pPr>
      <w:r>
        <w:t>3.1.7 Конкретные условия данной закупки приведены в разд. </w:t>
      </w:r>
      <w:r w:rsidR="00416473">
        <w:t>6</w:t>
      </w:r>
      <w:r>
        <w:t>.</w:t>
      </w:r>
    </w:p>
    <w:p w:rsidR="00C64E47" w:rsidRDefault="00C64E47" w:rsidP="003B1063">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3B1063">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3B1063">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3B1063">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3B1063">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0F004A" w:rsidRDefault="00C12F49" w:rsidP="003B1063">
      <w:pPr>
        <w:pStyle w:val="a2"/>
        <w:numPr>
          <w:ilvl w:val="0"/>
          <w:numId w:val="0"/>
        </w:numPr>
        <w:spacing w:before="0" w:after="0" w:line="240" w:lineRule="auto"/>
        <w:rPr>
          <w:b w:val="0"/>
          <w:sz w:val="22"/>
          <w:szCs w:val="22"/>
        </w:rPr>
      </w:pPr>
      <w:bookmarkStart w:id="13" w:name="_Toc534641100"/>
      <w:bookmarkStart w:id="14" w:name="_Toc415874645"/>
      <w:r w:rsidRPr="000F004A">
        <w:rPr>
          <w:b w:val="0"/>
          <w:sz w:val="22"/>
          <w:szCs w:val="22"/>
        </w:rPr>
        <w:t>3.2  Правовой статус процедуры и документов</w:t>
      </w:r>
      <w:bookmarkEnd w:id="13"/>
      <w:bookmarkEnd w:id="14"/>
    </w:p>
    <w:p w:rsidR="00C12F49" w:rsidRPr="000F004A" w:rsidRDefault="00C12F49" w:rsidP="003B1063">
      <w:pPr>
        <w:pStyle w:val="a3"/>
        <w:numPr>
          <w:ilvl w:val="0"/>
          <w:numId w:val="0"/>
        </w:numPr>
        <w:rPr>
          <w:sz w:val="22"/>
          <w:szCs w:val="22"/>
        </w:rPr>
      </w:pPr>
      <w:r w:rsidRPr="000F004A">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0F004A" w:rsidRDefault="00C12F49" w:rsidP="003B1063">
      <w:pPr>
        <w:pStyle w:val="a3"/>
        <w:numPr>
          <w:ilvl w:val="0"/>
          <w:numId w:val="0"/>
        </w:numPr>
        <w:rPr>
          <w:sz w:val="22"/>
          <w:szCs w:val="22"/>
        </w:rPr>
      </w:pPr>
      <w:r w:rsidRPr="000F004A">
        <w:rPr>
          <w:sz w:val="22"/>
          <w:szCs w:val="22"/>
        </w:rPr>
        <w:t>3.2.2 Заключенный по результатам закупки договор фиксирует все достигнутые сторонами договоренности.</w:t>
      </w:r>
    </w:p>
    <w:p w:rsidR="00C12F49" w:rsidRPr="000F004A" w:rsidRDefault="00C12F49" w:rsidP="003B1063">
      <w:pPr>
        <w:pStyle w:val="a3"/>
        <w:numPr>
          <w:ilvl w:val="0"/>
          <w:numId w:val="0"/>
        </w:numPr>
        <w:rPr>
          <w:sz w:val="22"/>
          <w:szCs w:val="22"/>
        </w:rPr>
      </w:pPr>
      <w:r w:rsidRPr="000F004A">
        <w:rPr>
          <w:sz w:val="22"/>
          <w:szCs w:val="22"/>
        </w:rPr>
        <w:t>3.2.3</w:t>
      </w:r>
      <w:proofErr w:type="gramStart"/>
      <w:r w:rsidRPr="000F004A">
        <w:rPr>
          <w:sz w:val="22"/>
          <w:szCs w:val="22"/>
        </w:rPr>
        <w:t xml:space="preserve"> Л</w:t>
      </w:r>
      <w:proofErr w:type="gramEnd"/>
      <w:r w:rsidRPr="000F004A">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0F004A" w:rsidRDefault="00C12F49" w:rsidP="003B1063">
      <w:pPr>
        <w:pStyle w:val="a3"/>
        <w:numPr>
          <w:ilvl w:val="0"/>
          <w:numId w:val="0"/>
        </w:numPr>
        <w:rPr>
          <w:sz w:val="22"/>
          <w:szCs w:val="22"/>
        </w:rPr>
      </w:pPr>
      <w:r w:rsidRPr="000F004A">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354A18">
      <w:pPr>
        <w:pStyle w:val="a2"/>
        <w:numPr>
          <w:ilvl w:val="1"/>
          <w:numId w:val="12"/>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354A18">
      <w:pPr>
        <w:pStyle w:val="a3"/>
        <w:numPr>
          <w:ilvl w:val="2"/>
          <w:numId w:val="12"/>
        </w:numPr>
        <w:ind w:left="1021" w:hanging="1021"/>
        <w:rPr>
          <w:rFonts w:eastAsia="MS Gothic"/>
        </w:rPr>
      </w:pPr>
      <w:r>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5C7746">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5C7746">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5C7746">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5C7746">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5C7746">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5C7746">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5C7746">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5C7746">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5C7746">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w:t>
      </w:r>
      <w:r w:rsidR="002265EF">
        <w:t>.</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lastRenderedPageBreak/>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65455B">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5C7746">
        <w:t>22</w:t>
      </w:r>
      <w:r>
        <w:fldChar w:fldCharType="end"/>
      </w:r>
      <w:r>
        <w:t xml:space="preserve"> Информационной карты даты и </w:t>
      </w:r>
      <w:r>
        <w:lastRenderedPageBreak/>
        <w:t>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5C7746">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5C7746">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5C7746">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w:t>
      </w:r>
      <w:r w:rsidR="00F16D72">
        <w:t xml:space="preserve"> </w:t>
      </w:r>
      <w:r>
        <w:t>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r w:rsidRPr="00030666">
        <w:rPr>
          <w:rFonts w:eastAsia="Arial Unicode MS"/>
          <w:bCs/>
        </w:rPr>
        <w:t>4.11.6</w:t>
      </w:r>
      <w:proofErr w:type="gramStart"/>
      <w:r w:rsidRPr="00030666">
        <w:rPr>
          <w:rFonts w:eastAsia="Arial Unicode MS"/>
          <w:bCs/>
        </w:rPr>
        <w:t xml:space="preserve"> </w:t>
      </w:r>
      <w:r w:rsidR="00F16D72">
        <w:rPr>
          <w:rFonts w:eastAsia="Arial Unicode MS"/>
          <w:bCs/>
        </w:rPr>
        <w:t xml:space="preserve"> </w:t>
      </w:r>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lastRenderedPageBreak/>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 xml:space="preserve">(5)несоответствие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w:t>
      </w:r>
      <w:r>
        <w:lastRenderedPageBreak/>
        <w:t>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r w:rsidRPr="006229EB">
        <w:t xml:space="preserve">4.12  Оценка и сопоставление заявок </w:t>
      </w:r>
      <w:bookmarkEnd w:id="241"/>
      <w:bookmarkEnd w:id="242"/>
      <w:bookmarkEnd w:id="243"/>
      <w:bookmarkEnd w:id="244"/>
      <w:bookmarkEnd w:id="245"/>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5C7746">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5C7746">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 xml:space="preserve">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w:t>
      </w:r>
      <w:r>
        <w:lastRenderedPageBreak/>
        <w:t>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w:t>
      </w:r>
      <w:r>
        <w:lastRenderedPageBreak/>
        <w:t>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rsidR="006420D2">
        <w:t xml:space="preserve"> </w:t>
      </w:r>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5C7746">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w:t>
      </w:r>
      <w:r>
        <w:lastRenderedPageBreak/>
        <w:t xml:space="preserve">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5C7746">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r>
        <w:t xml:space="preserve">4.16 </w:t>
      </w:r>
      <w:r w:rsidR="0083796B">
        <w:t xml:space="preserve"> </w:t>
      </w:r>
      <w:r>
        <w:t>Заключение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lastRenderedPageBreak/>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r w:rsidR="004B2043">
        <w:t xml:space="preserve">4.16.6 </w:t>
      </w:r>
      <w:r w:rsidRPr="007E4E41">
        <w:t>,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r w:rsidR="004B2043">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 xml:space="preserve">предоставления обеспечения исполнения </w:t>
      </w:r>
      <w:r>
        <w:lastRenderedPageBreak/>
        <w:t>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5C7746">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5C7746">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5C7746">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5C7746">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(1)</w:t>
      </w:r>
      <w:r w:rsidRPr="006E7AE0">
        <w:t>соответствие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5C7746">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5C7746">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lastRenderedPageBreak/>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разделов </w:t>
      </w:r>
      <w:r>
        <w:fldChar w:fldCharType="begin"/>
      </w:r>
      <w:r>
        <w:instrText xml:space="preserve"> REF _Ref419478675 \r \h  \* MERGEFORMAT </w:instrText>
      </w:r>
      <w:r>
        <w:fldChar w:fldCharType="separate"/>
      </w:r>
      <w:r w:rsidR="005C7746">
        <w:t>0</w:t>
      </w:r>
      <w:r>
        <w:fldChar w:fldCharType="end"/>
      </w:r>
      <w:r>
        <w:t>-</w:t>
      </w:r>
      <w:r>
        <w:fldChar w:fldCharType="begin"/>
      </w:r>
      <w:r>
        <w:instrText xml:space="preserve"> REF _Ref314254860 \r \h  \* MERGEFORMAT </w:instrText>
      </w:r>
      <w:r>
        <w:fldChar w:fldCharType="separate"/>
      </w:r>
      <w:r w:rsidR="005C7746">
        <w:t>0</w:t>
      </w:r>
      <w:r>
        <w:fldChar w:fldCharType="end"/>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w:t>
            </w:r>
            <w:proofErr w:type="spellStart"/>
            <w:r w:rsidRPr="00134B3B">
              <w:rPr>
                <w:rFonts w:ascii="Times New Roman" w:hAnsi="Times New Roman"/>
              </w:rPr>
              <w:t>Выборгтеплоэнерго</w:t>
            </w:r>
            <w:proofErr w:type="spellEnd"/>
            <w:r w:rsidRPr="00134B3B">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314160930" w:colFirst="0" w:colLast="0"/>
            <w:bookmarkEnd w:id="39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180612" w:rsidRDefault="00180612">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180612" w:rsidRDefault="00180612">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0F004A" w:rsidRPr="00CE0E72"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proofErr w:type="spellStart"/>
            <w:r w:rsidR="000F004A">
              <w:rPr>
                <w:rFonts w:ascii="Times New Roman" w:hAnsi="Times New Roman"/>
                <w:lang w:val="en-US"/>
              </w:rPr>
              <w:t>tcheb</w:t>
            </w:r>
            <w:proofErr w:type="spellEnd"/>
            <w:r w:rsidR="000F004A" w:rsidRPr="000F004A">
              <w:rPr>
                <w:rFonts w:ascii="Times New Roman" w:hAnsi="Times New Roman"/>
              </w:rPr>
              <w:t>@</w:t>
            </w:r>
            <w:proofErr w:type="spellStart"/>
            <w:r w:rsidR="000F004A">
              <w:rPr>
                <w:rFonts w:ascii="Times New Roman" w:hAnsi="Times New Roman"/>
                <w:lang w:val="en-US"/>
              </w:rPr>
              <w:t>yandex</w:t>
            </w:r>
            <w:proofErr w:type="spellEnd"/>
            <w:r w:rsidR="000F004A" w:rsidRPr="000F004A">
              <w:rPr>
                <w:rFonts w:ascii="Times New Roman" w:hAnsi="Times New Roman"/>
              </w:rPr>
              <w:t>.</w:t>
            </w:r>
            <w:proofErr w:type="spellStart"/>
            <w:r w:rsidR="000F004A">
              <w:rPr>
                <w:rFonts w:ascii="Times New Roman" w:hAnsi="Times New Roman"/>
                <w:lang w:val="en-US"/>
              </w:rPr>
              <w:t>ru</w:t>
            </w:r>
            <w:proofErr w:type="spellEnd"/>
          </w:p>
          <w:p w:rsidR="00180612" w:rsidRPr="000B59E1" w:rsidRDefault="000B59E1">
            <w:pPr>
              <w:spacing w:after="0" w:line="240" w:lineRule="auto"/>
              <w:rPr>
                <w:rFonts w:ascii="Times New Roman" w:hAnsi="Times New Roman"/>
              </w:rPr>
            </w:pPr>
            <w:r w:rsidRPr="000B59E1">
              <w:rPr>
                <w:rFonts w:ascii="Times New Roman" w:hAnsi="Times New Roman"/>
                <w:color w:val="444444"/>
                <w:sz w:val="21"/>
                <w:szCs w:val="21"/>
                <w:shd w:val="clear" w:color="auto" w:fill="FAFAFA"/>
              </w:rPr>
              <w:t>Info@vyborgteploenergo.ru</w:t>
            </w:r>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 xml:space="preserve">Чебыкина Елена </w:t>
            </w:r>
            <w:r w:rsidR="00EF19A4">
              <w:rPr>
                <w:rFonts w:ascii="Times New Roman" w:hAnsi="Times New Roman"/>
              </w:rPr>
              <w:t xml:space="preserve"> А</w:t>
            </w:r>
            <w:r w:rsidR="000F004A">
              <w:rPr>
                <w:rFonts w:ascii="Times New Roman" w:hAnsi="Times New Roman"/>
              </w:rPr>
              <w:t>натольевна</w:t>
            </w:r>
          </w:p>
        </w:tc>
      </w:tr>
      <w:bookmarkEnd w:id="39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980766"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AE384C" w:rsidRDefault="00AE774A" w:rsidP="0083796B">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0F004A" w:rsidRPr="00744F21">
                <w:rPr>
                  <w:rStyle w:val="af0"/>
                  <w:sz w:val="24"/>
                  <w:szCs w:val="24"/>
                  <w:lang w:val="en-US"/>
                </w:rPr>
                <w:t>www</w:t>
              </w:r>
              <w:r w:rsidR="000F004A" w:rsidRPr="00744F21">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w:t>
            </w:r>
            <w:r w:rsidRPr="00E85CC3">
              <w:rPr>
                <w:rFonts w:ascii="Times New Roman" w:hAnsi="Times New Roman"/>
                <w:bCs/>
                <w:sz w:val="24"/>
                <w:szCs w:val="24"/>
              </w:rPr>
              <w:t xml:space="preserve">в форме электронных документов, на электронной площадке </w:t>
            </w:r>
            <w:r w:rsidR="00DC0335" w:rsidRPr="00E85CC3">
              <w:rPr>
                <w:rFonts w:ascii="Times New Roman" w:hAnsi="Times New Roman"/>
                <w:bCs/>
                <w:sz w:val="24"/>
                <w:szCs w:val="24"/>
              </w:rPr>
              <w:t>РТС</w:t>
            </w:r>
            <w:r w:rsidRPr="00E85CC3">
              <w:rPr>
                <w:rFonts w:ascii="Times New Roman" w:hAnsi="Times New Roman"/>
                <w:bCs/>
                <w:sz w:val="24"/>
                <w:szCs w:val="24"/>
              </w:rPr>
              <w:t xml:space="preserve">, по адресу </w:t>
            </w:r>
            <w:r w:rsidR="008A4E96" w:rsidRPr="00E85CC3">
              <w:rPr>
                <w:rFonts w:ascii="Times New Roman" w:hAnsi="Times New Roman"/>
                <w:bCs/>
                <w:sz w:val="24"/>
                <w:szCs w:val="24"/>
              </w:rPr>
              <w:t>https://www.rts-tender.ru/</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298281"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180612" w:rsidRPr="007C70F3" w:rsidRDefault="005C7746" w:rsidP="00864F51">
            <w:pPr>
              <w:spacing w:after="0" w:line="240" w:lineRule="auto"/>
              <w:rPr>
                <w:rFonts w:ascii="Times New Roman" w:hAnsi="Times New Roman"/>
              </w:rPr>
            </w:pPr>
            <w:r>
              <w:rPr>
                <w:rFonts w:ascii="Times New Roman" w:eastAsia="MS Gothic" w:hAnsi="Times New Roman"/>
                <w:b/>
                <w:bCs/>
                <w:lang w:val="ru"/>
              </w:rPr>
              <w:t>4 076</w:t>
            </w:r>
            <w:r w:rsidR="00654881">
              <w:rPr>
                <w:rFonts w:ascii="Times New Roman" w:eastAsia="MS Gothic" w:hAnsi="Times New Roman"/>
                <w:b/>
                <w:bCs/>
                <w:lang w:val="ru"/>
              </w:rPr>
              <w:t xml:space="preserve"> 0</w:t>
            </w:r>
            <w:r w:rsidR="00EF19A4">
              <w:rPr>
                <w:rFonts w:ascii="Times New Roman" w:eastAsia="MS Gothic" w:hAnsi="Times New Roman"/>
                <w:b/>
                <w:bCs/>
                <w:lang w:val="ru"/>
              </w:rPr>
              <w:t>00,00</w:t>
            </w:r>
            <w:r w:rsidR="00EF19A4" w:rsidRPr="007C70F3">
              <w:rPr>
                <w:rFonts w:ascii="Times New Roman" w:hAnsi="Times New Roman"/>
              </w:rPr>
              <w:t xml:space="preserve"> </w:t>
            </w:r>
            <w:r w:rsidR="00864F51" w:rsidRPr="007C70F3">
              <w:rPr>
                <w:rFonts w:ascii="Times New Roman" w:hAnsi="Times New Roman"/>
              </w:rPr>
              <w:t>(</w:t>
            </w:r>
            <w:r>
              <w:rPr>
                <w:rFonts w:ascii="Times New Roman" w:hAnsi="Times New Roman"/>
              </w:rPr>
              <w:t>четыре</w:t>
            </w:r>
            <w:r w:rsidR="007C70F3" w:rsidRPr="007C70F3">
              <w:rPr>
                <w:rFonts w:ascii="Times New Roman" w:hAnsi="Times New Roman"/>
              </w:rPr>
              <w:t xml:space="preserve"> миллиона</w:t>
            </w:r>
            <w:r w:rsidR="00BA6B5E">
              <w:rPr>
                <w:rFonts w:ascii="Times New Roman" w:hAnsi="Times New Roman"/>
              </w:rPr>
              <w:t xml:space="preserve"> </w:t>
            </w:r>
            <w:r>
              <w:rPr>
                <w:rFonts w:ascii="Times New Roman" w:hAnsi="Times New Roman"/>
              </w:rPr>
              <w:t>семьдесят шесть</w:t>
            </w:r>
            <w:r w:rsidR="00654881">
              <w:rPr>
                <w:rFonts w:ascii="Times New Roman" w:hAnsi="Times New Roman"/>
              </w:rPr>
              <w:t xml:space="preserve"> тысяч</w:t>
            </w:r>
            <w:r w:rsidR="007C70F3" w:rsidRPr="007C70F3">
              <w:rPr>
                <w:rFonts w:ascii="Times New Roman" w:hAnsi="Times New Roman"/>
              </w:rPr>
              <w:t>)</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 xml:space="preserve">с определением соответствия поставляемого товара, выполняемой работы, оказываемой услуги потребностям Заказчика, приведены в </w:t>
            </w:r>
            <w:r w:rsidR="00D53C96">
              <w:rPr>
                <w:rFonts w:ascii="Times New Roman" w:hAnsi="Times New Roman"/>
              </w:rPr>
              <w:t>разделе 9.</w:t>
            </w:r>
            <w:proofErr w:type="gramEnd"/>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12"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6"/>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AE774A">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AE774A">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p>
          <w:p w:rsidR="00AE774A" w:rsidRDefault="00AE774A" w:rsidP="00AE774A">
            <w:pPr>
              <w:widowControl w:val="0"/>
              <w:shd w:val="clear" w:color="auto" w:fill="FFFFFF"/>
              <w:spacing w:after="0" w:line="240" w:lineRule="auto"/>
              <w:ind w:left="1428"/>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F66037">
            <w:pPr>
              <w:spacing w:after="0" w:line="240" w:lineRule="auto"/>
              <w:rPr>
                <w:rFonts w:ascii="Times New Roman" w:hAnsi="Times New Roman"/>
                <w:lang w:eastAsia="en-US"/>
              </w:rPr>
            </w:pPr>
            <w:r>
              <w:rPr>
                <w:rFonts w:ascii="Times New Roman" w:hAnsi="Times New Roman"/>
              </w:rPr>
              <w:t xml:space="preserve">С </w:t>
            </w:r>
            <w:r w:rsidR="00F66037">
              <w:rPr>
                <w:rFonts w:ascii="Times New Roman" w:hAnsi="Times New Roman"/>
              </w:rPr>
              <w:t>момента подписания договора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534743978"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w:t>
            </w:r>
            <w:proofErr w:type="spellStart"/>
            <w:r>
              <w:rPr>
                <w:rFonts w:ascii="Times New Roman" w:hAnsi="Times New Roman"/>
              </w:rPr>
              <w:t>НМЦед</w:t>
            </w:r>
            <w:proofErr w:type="spellEnd"/>
            <w:r>
              <w:rPr>
                <w:rFonts w:ascii="Times New Roman" w:hAnsi="Times New Roman"/>
              </w:rPr>
              <w:t>.</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601424" w:colFirst="0" w:colLast="0"/>
            <w:bookmarkEnd w:id="398"/>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66290287" w:colFirst="0" w:colLast="0"/>
            <w:bookmarkStart w:id="401" w:name="_Hlk66219310"/>
            <w:bookmarkEnd w:id="39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0"/>
      <w:bookmarkEnd w:id="40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41429379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3"/>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4" w:name="_Ref534586139"/>
            <w:r>
              <w:rPr>
                <w:rFonts w:ascii="Times New Roman" w:hAnsi="Times New Roman"/>
              </w:rPr>
              <w:t xml:space="preserve">Возможность привлечения </w:t>
            </w:r>
            <w:r>
              <w:rPr>
                <w:rFonts w:ascii="Times New Roman" w:hAnsi="Times New Roman"/>
              </w:rPr>
              <w:lastRenderedPageBreak/>
              <w:t>субподрядчиков (соисполнителей, субпоставщиков)</w:t>
            </w:r>
            <w:bookmarkEnd w:id="404"/>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lastRenderedPageBreak/>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5"/>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5852011"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4298333"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314163382"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4D04BB">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sidR="00235809">
              <w:rPr>
                <w:rFonts w:ascii="Times New Roman" w:hAnsi="Times New Roman"/>
              </w:rPr>
              <w:t xml:space="preserve"> </w:t>
            </w:r>
            <w:r>
              <w:rPr>
                <w:rFonts w:ascii="Times New Roman" w:hAnsi="Times New Roman"/>
              </w:rPr>
              <w:t xml:space="preserve"> начиная</w:t>
            </w:r>
            <w:r w:rsidR="00235809">
              <w:rPr>
                <w:rFonts w:ascii="Times New Roman" w:hAnsi="Times New Roman"/>
              </w:rPr>
              <w:t xml:space="preserve"> </w:t>
            </w:r>
            <w:r>
              <w:rPr>
                <w:rFonts w:ascii="Times New Roman" w:hAnsi="Times New Roman"/>
              </w:rPr>
              <w:t xml:space="preserve"> с «</w:t>
            </w:r>
            <w:r w:rsidR="005C7746">
              <w:rPr>
                <w:rFonts w:ascii="Times New Roman" w:hAnsi="Times New Roman"/>
              </w:rPr>
              <w:t>18</w:t>
            </w:r>
            <w:r>
              <w:rPr>
                <w:rFonts w:ascii="Times New Roman" w:hAnsi="Times New Roman"/>
              </w:rPr>
              <w:t xml:space="preserve">» </w:t>
            </w:r>
            <w:r w:rsidR="005C7746">
              <w:rPr>
                <w:rFonts w:ascii="Times New Roman" w:hAnsi="Times New Roman"/>
              </w:rPr>
              <w:t>декабря</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665F53">
              <w:rPr>
                <w:rFonts w:ascii="Times New Roman" w:hAnsi="Times New Roman"/>
              </w:rPr>
              <w:t>3</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Pr>
                <w:rFonts w:ascii="Times New Roman" w:hAnsi="Times New Roman"/>
              </w:rPr>
              <w:t>и до</w:t>
            </w:r>
            <w:r w:rsidR="005C7746">
              <w:rPr>
                <w:rFonts w:ascii="Times New Roman" w:hAnsi="Times New Roman"/>
              </w:rPr>
              <w:t xml:space="preserve">  </w:t>
            </w:r>
            <w:r>
              <w:rPr>
                <w:rFonts w:ascii="Times New Roman" w:hAnsi="Times New Roman"/>
              </w:rPr>
              <w:t xml:space="preserve"> </w:t>
            </w:r>
            <w:r w:rsidR="00AE774A">
              <w:rPr>
                <w:rFonts w:ascii="Times New Roman" w:hAnsi="Times New Roman"/>
              </w:rPr>
              <w:t>«</w:t>
            </w:r>
            <w:r w:rsidR="005C7746">
              <w:rPr>
                <w:rFonts w:ascii="Times New Roman" w:hAnsi="Times New Roman"/>
              </w:rPr>
              <w:t>2</w:t>
            </w:r>
            <w:r w:rsidR="004D04BB">
              <w:rPr>
                <w:rFonts w:ascii="Times New Roman" w:hAnsi="Times New Roman"/>
              </w:rPr>
              <w:t>6</w:t>
            </w:r>
            <w:r w:rsidR="00AE774A">
              <w:rPr>
                <w:rFonts w:ascii="Times New Roman" w:hAnsi="Times New Roman"/>
              </w:rPr>
              <w:t xml:space="preserve">» </w:t>
            </w:r>
            <w:r w:rsidR="005C7746">
              <w:rPr>
                <w:rFonts w:ascii="Times New Roman" w:hAnsi="Times New Roman"/>
              </w:rPr>
              <w:t>декабря</w:t>
            </w:r>
            <w:r w:rsidR="00BA6B5E">
              <w:rPr>
                <w:rFonts w:ascii="Times New Roman" w:hAnsi="Times New Roman"/>
              </w:rPr>
              <w:t xml:space="preserve"> </w:t>
            </w:r>
            <w:r w:rsidR="00445D42">
              <w:rPr>
                <w:rFonts w:ascii="Times New Roman" w:hAnsi="Times New Roman"/>
              </w:rPr>
              <w:t xml:space="preserve"> 202</w:t>
            </w:r>
            <w:r w:rsidR="00665F53">
              <w:rPr>
                <w:rFonts w:ascii="Times New Roman" w:hAnsi="Times New Roman"/>
              </w:rPr>
              <w:t>3</w:t>
            </w:r>
            <w:r w:rsidR="00445D42">
              <w:rPr>
                <w:rFonts w:ascii="Times New Roman" w:hAnsi="Times New Roman"/>
              </w:rPr>
              <w:t xml:space="preserve"> г.</w:t>
            </w:r>
            <w:r w:rsidR="00AE384C">
              <w:rPr>
                <w:rFonts w:ascii="Times New Roman" w:hAnsi="Times New Roman"/>
              </w:rPr>
              <w:t xml:space="preserve"> </w:t>
            </w:r>
            <w:r w:rsidR="00F45A04">
              <w:rPr>
                <w:rFonts w:ascii="Times New Roman" w:hAnsi="Times New Roman"/>
              </w:rPr>
              <w:t>0</w:t>
            </w:r>
            <w:bookmarkStart w:id="410" w:name="_GoBack"/>
            <w:bookmarkEnd w:id="410"/>
            <w:r w:rsidR="00B22FC6">
              <w:rPr>
                <w:rFonts w:ascii="Times New Roman" w:hAnsi="Times New Roman"/>
              </w:rPr>
              <w:t>9</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1" w:name="_Ref455177117"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4D04BB">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w:t>
            </w:r>
            <w:r w:rsidRPr="005D506C">
              <w:rPr>
                <w:rFonts w:ascii="Times New Roman" w:hAnsi="Times New Roman"/>
              </w:rPr>
              <w:t xml:space="preserve">предоставляются </w:t>
            </w:r>
            <w:r w:rsidR="00AE384C" w:rsidRPr="005D506C">
              <w:rPr>
                <w:rFonts w:ascii="Times New Roman" w:hAnsi="Times New Roman"/>
              </w:rPr>
              <w:t>с «</w:t>
            </w:r>
            <w:r w:rsidR="005C7746">
              <w:rPr>
                <w:rFonts w:ascii="Times New Roman" w:hAnsi="Times New Roman"/>
              </w:rPr>
              <w:t>19</w:t>
            </w:r>
            <w:r w:rsidR="00AE384C" w:rsidRPr="005D506C">
              <w:rPr>
                <w:rFonts w:ascii="Times New Roman" w:hAnsi="Times New Roman"/>
              </w:rPr>
              <w:t xml:space="preserve">» </w:t>
            </w:r>
            <w:r w:rsidR="005C7746">
              <w:rPr>
                <w:rFonts w:ascii="Times New Roman" w:hAnsi="Times New Roman"/>
              </w:rPr>
              <w:t>декабря</w:t>
            </w:r>
            <w:r w:rsidR="00AE384C" w:rsidRPr="005D506C">
              <w:rPr>
                <w:rFonts w:ascii="Times New Roman" w:hAnsi="Times New Roman"/>
              </w:rPr>
              <w:t xml:space="preserve">  202</w:t>
            </w:r>
            <w:r w:rsidR="00665F53" w:rsidRPr="005D506C">
              <w:rPr>
                <w:rFonts w:ascii="Times New Roman" w:hAnsi="Times New Roman"/>
              </w:rPr>
              <w:t>3</w:t>
            </w:r>
            <w:r w:rsidR="00AE384C" w:rsidRPr="005D506C">
              <w:rPr>
                <w:rFonts w:ascii="Times New Roman" w:hAnsi="Times New Roman"/>
              </w:rPr>
              <w:t xml:space="preserve">  г.  и до </w:t>
            </w:r>
            <w:r w:rsidR="004D04BB">
              <w:rPr>
                <w:rFonts w:ascii="Times New Roman" w:hAnsi="Times New Roman"/>
              </w:rPr>
              <w:t xml:space="preserve">  </w:t>
            </w:r>
            <w:r w:rsidR="00AE384C" w:rsidRPr="005D506C">
              <w:rPr>
                <w:rFonts w:ascii="Times New Roman" w:hAnsi="Times New Roman"/>
              </w:rPr>
              <w:t>«</w:t>
            </w:r>
            <w:r w:rsidR="004D04BB">
              <w:rPr>
                <w:rFonts w:ascii="Times New Roman" w:hAnsi="Times New Roman"/>
              </w:rPr>
              <w:t>25</w:t>
            </w:r>
            <w:r w:rsidR="00AE384C" w:rsidRPr="005D506C">
              <w:rPr>
                <w:rFonts w:ascii="Times New Roman" w:hAnsi="Times New Roman"/>
              </w:rPr>
              <w:t>»</w:t>
            </w:r>
            <w:r w:rsidR="00B22FC6" w:rsidRPr="005D506C">
              <w:rPr>
                <w:rFonts w:ascii="Times New Roman" w:hAnsi="Times New Roman"/>
              </w:rPr>
              <w:t xml:space="preserve"> </w:t>
            </w:r>
            <w:r w:rsidR="005C7746">
              <w:rPr>
                <w:rFonts w:ascii="Times New Roman" w:hAnsi="Times New Roman"/>
              </w:rPr>
              <w:t>декабря</w:t>
            </w:r>
            <w:r w:rsidR="00BA6B5E" w:rsidRPr="005D506C">
              <w:rPr>
                <w:rFonts w:ascii="Times New Roman" w:hAnsi="Times New Roman"/>
              </w:rPr>
              <w:t xml:space="preserve"> </w:t>
            </w:r>
            <w:r w:rsidR="00AE384C" w:rsidRPr="005D506C">
              <w:rPr>
                <w:rFonts w:ascii="Times New Roman" w:hAnsi="Times New Roman"/>
              </w:rPr>
              <w:t xml:space="preserve"> 202</w:t>
            </w:r>
            <w:r w:rsidR="00665F53" w:rsidRPr="005D506C">
              <w:rPr>
                <w:rFonts w:ascii="Times New Roman" w:hAnsi="Times New Roman"/>
              </w:rPr>
              <w:t>3</w:t>
            </w:r>
            <w:r w:rsidR="00AE384C" w:rsidRPr="005D506C">
              <w:rPr>
                <w:rFonts w:ascii="Times New Roman" w:hAnsi="Times New Roman"/>
              </w:rPr>
              <w:t xml:space="preserve"> г. 1</w:t>
            </w:r>
            <w:r w:rsidR="004D04BB">
              <w:rPr>
                <w:rFonts w:ascii="Times New Roman" w:hAnsi="Times New Roman"/>
              </w:rPr>
              <w:t>5</w:t>
            </w:r>
            <w:r w:rsidR="00AE384C" w:rsidRPr="005D506C">
              <w:rPr>
                <w:rFonts w:ascii="Times New Roman" w:hAnsi="Times New Roman"/>
              </w:rPr>
              <w:t xml:space="preserve">  ч. 00 мин.  (по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414987457"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r w:rsidR="008A4E96" w:rsidRPr="00FF1D97">
              <w:rPr>
                <w:rFonts w:ascii="Times New Roman" w:hAnsi="Times New Roman"/>
                <w:sz w:val="24"/>
                <w:szCs w:val="24"/>
                <w:lang w:val="en-US"/>
              </w:rPr>
              <w:t>https</w:t>
            </w:r>
            <w:r w:rsidR="008A4E96" w:rsidRPr="00FF1D97">
              <w:rPr>
                <w:rFonts w:ascii="Times New Roman" w:hAnsi="Times New Roman"/>
                <w:sz w:val="24"/>
                <w:szCs w:val="24"/>
              </w:rPr>
              <w:t>://</w:t>
            </w:r>
            <w:r w:rsidR="008A4E96" w:rsidRPr="00FF1D97">
              <w:rPr>
                <w:rFonts w:ascii="Times New Roman" w:hAnsi="Times New Roman"/>
                <w:sz w:val="24"/>
                <w:szCs w:val="24"/>
                <w:lang w:val="en-US"/>
              </w:rPr>
              <w:t>www</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rts</w:t>
            </w:r>
            <w:proofErr w:type="spellEnd"/>
            <w:r w:rsidR="008A4E96" w:rsidRPr="00FF1D97">
              <w:rPr>
                <w:rFonts w:ascii="Times New Roman" w:hAnsi="Times New Roman"/>
                <w:sz w:val="24"/>
                <w:szCs w:val="24"/>
              </w:rPr>
              <w:t>-</w:t>
            </w:r>
            <w:r w:rsidR="008A4E96" w:rsidRPr="00FF1D97">
              <w:rPr>
                <w:rFonts w:ascii="Times New Roman" w:hAnsi="Times New Roman"/>
                <w:sz w:val="24"/>
                <w:szCs w:val="24"/>
                <w:lang w:val="en-US"/>
              </w:rPr>
              <w:t>tender</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ru</w:t>
            </w:r>
            <w:proofErr w:type="spellEnd"/>
            <w:r w:rsidR="008A4E96" w:rsidRPr="00FF1D97">
              <w:rPr>
                <w:rFonts w:ascii="Times New Roman" w:hAnsi="Times New Roman"/>
                <w:sz w:val="24"/>
                <w:szCs w:val="24"/>
              </w:rPr>
              <w:t>/</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4D04BB">
            <w:pPr>
              <w:spacing w:after="0" w:line="240" w:lineRule="auto"/>
              <w:rPr>
                <w:rFonts w:ascii="Times New Roman" w:hAnsi="Times New Roman"/>
                <w:lang w:eastAsia="en-US"/>
              </w:rPr>
            </w:pPr>
            <w:r w:rsidRPr="00FF1D97">
              <w:rPr>
                <w:rFonts w:ascii="Times New Roman" w:hAnsi="Times New Roman"/>
              </w:rPr>
              <w:t>«</w:t>
            </w:r>
            <w:r w:rsidR="004D04BB">
              <w:rPr>
                <w:rFonts w:ascii="Times New Roman" w:hAnsi="Times New Roman"/>
              </w:rPr>
              <w:t>26</w:t>
            </w:r>
            <w:r w:rsidRPr="00FF1D97">
              <w:rPr>
                <w:rFonts w:ascii="Times New Roman" w:hAnsi="Times New Roman"/>
              </w:rPr>
              <w:t>»</w:t>
            </w:r>
            <w:r w:rsidR="00AE384C" w:rsidRPr="00FF1D97">
              <w:rPr>
                <w:rFonts w:ascii="Times New Roman" w:hAnsi="Times New Roman"/>
              </w:rPr>
              <w:t xml:space="preserve"> </w:t>
            </w:r>
            <w:r w:rsidR="005C7746">
              <w:rPr>
                <w:rFonts w:ascii="Times New Roman" w:hAnsi="Times New Roman"/>
              </w:rPr>
              <w:t>декабря</w:t>
            </w:r>
            <w:r w:rsidR="005D506C">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665F53">
              <w:rPr>
                <w:rFonts w:ascii="Times New Roman" w:hAnsi="Times New Roman"/>
              </w:rPr>
              <w:t>3</w:t>
            </w:r>
            <w:r w:rsidR="00AE384C" w:rsidRPr="00FF1D97">
              <w:rPr>
                <w:rFonts w:ascii="Times New Roman" w:hAnsi="Times New Roman"/>
              </w:rPr>
              <w:t xml:space="preserve">  г. «</w:t>
            </w:r>
            <w:r w:rsidR="00B22FC6">
              <w:rPr>
                <w:rFonts w:ascii="Times New Roman" w:hAnsi="Times New Roman"/>
              </w:rPr>
              <w:t>10</w:t>
            </w:r>
            <w:r w:rsidR="00AE384C" w:rsidRPr="00FF1D97">
              <w:rPr>
                <w:rFonts w:ascii="Times New Roman" w:hAnsi="Times New Roman"/>
              </w:rPr>
              <w:t>» час. 00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4D04BB">
            <w:pPr>
              <w:spacing w:after="0" w:line="240" w:lineRule="auto"/>
              <w:rPr>
                <w:rFonts w:ascii="Times New Roman" w:hAnsi="Times New Roman"/>
                <w:lang w:eastAsia="en-US"/>
              </w:rPr>
            </w:pPr>
            <w:r w:rsidRPr="00FF1D97">
              <w:rPr>
                <w:rFonts w:ascii="Times New Roman" w:hAnsi="Times New Roman"/>
              </w:rPr>
              <w:t>«</w:t>
            </w:r>
            <w:r w:rsidR="004D04BB">
              <w:rPr>
                <w:rFonts w:ascii="Times New Roman" w:hAnsi="Times New Roman"/>
              </w:rPr>
              <w:t>26</w:t>
            </w:r>
            <w:r w:rsidRPr="00FF1D97">
              <w:rPr>
                <w:rFonts w:ascii="Times New Roman" w:hAnsi="Times New Roman"/>
              </w:rPr>
              <w:t xml:space="preserve">» </w:t>
            </w:r>
            <w:r w:rsidR="005C7746">
              <w:rPr>
                <w:rFonts w:ascii="Times New Roman" w:hAnsi="Times New Roman"/>
              </w:rPr>
              <w:t>декабря</w:t>
            </w:r>
            <w:r w:rsidR="00BA6B5E">
              <w:rPr>
                <w:rFonts w:ascii="Times New Roman" w:hAnsi="Times New Roman"/>
              </w:rPr>
              <w:t xml:space="preserve"> </w:t>
            </w:r>
            <w:r w:rsidRPr="00FF1D97">
              <w:rPr>
                <w:rFonts w:ascii="Times New Roman" w:hAnsi="Times New Roman"/>
              </w:rPr>
              <w:t xml:space="preserve"> 202</w:t>
            </w:r>
            <w:r w:rsidR="00665F53">
              <w:rPr>
                <w:rFonts w:ascii="Times New Roman" w:hAnsi="Times New Roman"/>
              </w:rPr>
              <w:t>3</w:t>
            </w:r>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lastRenderedPageBreak/>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C7746" w:rsidRPr="005C7746" w:rsidRDefault="009F7EEF" w:rsidP="005C7746">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5C7746" w:rsidP="006420D2">
            <w:pPr>
              <w:spacing w:after="0" w:line="240" w:lineRule="auto"/>
              <w:rPr>
                <w:rFonts w:ascii="Times New Roman" w:eastAsia="Calibri" w:hAnsi="Times New Roman"/>
                <w:lang w:eastAsia="en-US"/>
              </w:rPr>
            </w:pPr>
            <w:r w:rsidRPr="005C7746">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5C7746" w:rsidRPr="005C7746">
              <w:rPr>
                <w:rFonts w:ascii="Times New Roman" w:eastAsia="Calibri" w:hAnsi="Times New Roman"/>
                <w:lang w:eastAsia="en-US"/>
              </w:rPr>
              <w:t>7.2 (Форма 2)</w:t>
            </w:r>
            <w:r w:rsidR="005C7746"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Список АЗС в соответствии с требованиями технического задания (Раздел 9)</w:t>
            </w:r>
          </w:p>
        </w:tc>
      </w:tr>
    </w:tbl>
    <w:p w:rsidR="000F004A" w:rsidRDefault="000F004A" w:rsidP="000508F9">
      <w:pPr>
        <w:pStyle w:val="affffff8"/>
        <w:outlineLvl w:val="9"/>
        <w:rPr>
          <w:lang w:val="ru"/>
        </w:rPr>
      </w:pPr>
      <w:bookmarkStart w:id="421" w:name="Прил4"/>
      <w:bookmarkStart w:id="422" w:name="_Toc470881730"/>
      <w:bookmarkStart w:id="423" w:name="_Toc518558338"/>
    </w:p>
    <w:p w:rsidR="000508F9" w:rsidRPr="000F004A" w:rsidRDefault="000508F9" w:rsidP="000508F9">
      <w:pPr>
        <w:pStyle w:val="affffff8"/>
        <w:outlineLvl w:val="9"/>
        <w:rPr>
          <w:sz w:val="20"/>
          <w:szCs w:val="20"/>
          <w:lang w:val="ru"/>
        </w:rPr>
      </w:pPr>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roofErr w:type="gramStart"/>
      <w:r w:rsidRPr="000F004A">
        <w:rPr>
          <w:rFonts w:ascii="Times New Roman" w:hAnsi="Times New Roman"/>
          <w:sz w:val="20"/>
          <w:szCs w:val="20"/>
        </w:rPr>
        <w:t xml:space="preserve"> )</w:t>
      </w:r>
      <w:proofErr w:type="gramEnd"/>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 </w:t>
            </w:r>
            <w:proofErr w:type="gramStart"/>
            <w:r w:rsidRPr="000F004A">
              <w:rPr>
                <w:rFonts w:ascii="Times New Roman" w:eastAsia="MS Gothic" w:hAnsi="Times New Roman"/>
                <w:b/>
                <w:bCs/>
                <w:sz w:val="20"/>
                <w:szCs w:val="20"/>
                <w:lang w:val="ru"/>
              </w:rPr>
              <w:t>п</w:t>
            </w:r>
            <w:proofErr w:type="gramEnd"/>
            <w:r w:rsidRPr="000F004A">
              <w:rPr>
                <w:rFonts w:ascii="Times New Roman" w:eastAsia="MS Gothic" w:hAnsi="Times New Roman"/>
                <w:b/>
                <w:bCs/>
                <w:sz w:val="20"/>
                <w:szCs w:val="20"/>
                <w:lang w:val="ru"/>
              </w:rPr>
              <w:t>/п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w:t>
            </w:r>
            <w:proofErr w:type="spellStart"/>
            <w:r w:rsidRPr="000F004A">
              <w:rPr>
                <w:rFonts w:ascii="Times New Roman" w:eastAsia="MS Gothic" w:hAnsi="Times New Roman"/>
                <w:b/>
                <w:bCs/>
                <w:sz w:val="20"/>
                <w:szCs w:val="20"/>
                <w:lang w:val="ru"/>
              </w:rPr>
              <w:t>руб</w:t>
            </w:r>
            <w:proofErr w:type="spellEnd"/>
            <w:r w:rsidRPr="000F004A">
              <w:rPr>
                <w:rFonts w:ascii="Times New Roman" w:eastAsia="MS Gothic" w:hAnsi="Times New Roman"/>
                <w:b/>
                <w:bCs/>
                <w:sz w:val="20"/>
                <w:szCs w:val="20"/>
                <w:lang w:val="ru"/>
              </w:rPr>
              <w:t>)</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2265EF" w:rsidRPr="000F004A" w:rsidTr="00B166E3">
        <w:trPr>
          <w:trHeight w:val="57"/>
        </w:trPr>
        <w:tc>
          <w:tcPr>
            <w:tcW w:w="499" w:type="dxa"/>
          </w:tcPr>
          <w:p w:rsidR="002265EF" w:rsidRPr="000F004A" w:rsidRDefault="002265EF" w:rsidP="000508F9">
            <w:pPr>
              <w:pStyle w:val="afff2"/>
              <w:numPr>
                <w:ilvl w:val="0"/>
                <w:numId w:val="56"/>
              </w:numPr>
              <w:ind w:left="0" w:firstLine="85"/>
              <w:jc w:val="center"/>
              <w:rPr>
                <w:sz w:val="20"/>
                <w:szCs w:val="20"/>
              </w:rPr>
            </w:pPr>
          </w:p>
        </w:tc>
        <w:tc>
          <w:tcPr>
            <w:tcW w:w="3415" w:type="dxa"/>
          </w:tcPr>
          <w:p w:rsidR="002265EF" w:rsidRPr="000F004A" w:rsidRDefault="002265EF" w:rsidP="00654881">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sidR="00654881">
              <w:rPr>
                <w:rFonts w:ascii="Times New Roman" w:eastAsia="MS Gothic" w:hAnsi="Times New Roman"/>
                <w:b/>
                <w:bCs/>
                <w:sz w:val="20"/>
                <w:szCs w:val="20"/>
                <w:lang w:val="ru"/>
              </w:rPr>
              <w:t>Е</w:t>
            </w:r>
            <w:r w:rsidRPr="000F004A">
              <w:rPr>
                <w:rFonts w:ascii="Times New Roman" w:eastAsia="MS Gothic" w:hAnsi="Times New Roman"/>
                <w:b/>
                <w:bCs/>
                <w:sz w:val="20"/>
                <w:szCs w:val="20"/>
                <w:lang w:val="ru"/>
              </w:rPr>
              <w:t>-К5</w:t>
            </w:r>
          </w:p>
        </w:tc>
        <w:tc>
          <w:tcPr>
            <w:tcW w:w="1980" w:type="dxa"/>
          </w:tcPr>
          <w:p w:rsidR="002265EF" w:rsidRPr="000F004A" w:rsidRDefault="00654881" w:rsidP="005C7746">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1</w:t>
            </w:r>
            <w:r w:rsidR="005C7746">
              <w:rPr>
                <w:rFonts w:ascii="Times New Roman" w:eastAsia="MS Gothic" w:hAnsi="Times New Roman"/>
                <w:bCs/>
                <w:sz w:val="20"/>
                <w:szCs w:val="20"/>
                <w:lang w:val="ru"/>
              </w:rPr>
              <w:t>0</w:t>
            </w:r>
            <w:r w:rsidR="002265EF" w:rsidRPr="000F004A">
              <w:rPr>
                <w:rFonts w:ascii="Times New Roman" w:eastAsia="MS Gothic" w:hAnsi="Times New Roman"/>
                <w:bCs/>
                <w:sz w:val="20"/>
                <w:szCs w:val="20"/>
                <w:lang w:val="ru"/>
              </w:rPr>
              <w:t xml:space="preserve"> 000</w:t>
            </w:r>
          </w:p>
        </w:tc>
        <w:tc>
          <w:tcPr>
            <w:tcW w:w="1741" w:type="dxa"/>
          </w:tcPr>
          <w:p w:rsidR="002265EF" w:rsidRPr="000F004A" w:rsidRDefault="001242AB" w:rsidP="00654881">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w:t>
            </w:r>
            <w:r w:rsidR="00654881">
              <w:rPr>
                <w:rFonts w:ascii="Times New Roman" w:eastAsia="MS Gothic" w:hAnsi="Times New Roman"/>
                <w:bCs/>
                <w:sz w:val="20"/>
                <w:szCs w:val="20"/>
                <w:lang w:val="ru"/>
              </w:rPr>
              <w:t>4</w:t>
            </w:r>
            <w:r w:rsidR="002265EF" w:rsidRPr="000F004A">
              <w:rPr>
                <w:rFonts w:ascii="Times New Roman" w:eastAsia="MS Gothic" w:hAnsi="Times New Roman"/>
                <w:bCs/>
                <w:sz w:val="20"/>
                <w:szCs w:val="20"/>
                <w:lang w:val="ru"/>
              </w:rPr>
              <w:t>,00</w:t>
            </w:r>
          </w:p>
        </w:tc>
        <w:tc>
          <w:tcPr>
            <w:tcW w:w="1829" w:type="dxa"/>
          </w:tcPr>
          <w:p w:rsidR="002265EF" w:rsidRPr="000F004A" w:rsidRDefault="005C7746" w:rsidP="005C7746">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640</w:t>
            </w:r>
            <w:r w:rsidR="00F249E4" w:rsidRPr="000F004A">
              <w:rPr>
                <w:rFonts w:ascii="Times New Roman" w:eastAsia="MS Gothic" w:hAnsi="Times New Roman"/>
                <w:b/>
                <w:bCs/>
                <w:sz w:val="20"/>
                <w:szCs w:val="20"/>
                <w:lang w:val="ru"/>
              </w:rPr>
              <w:t> 000,00</w:t>
            </w:r>
          </w:p>
        </w:tc>
      </w:tr>
      <w:tr w:rsidR="00654881" w:rsidRPr="000F004A" w:rsidTr="00B166E3">
        <w:trPr>
          <w:trHeight w:val="57"/>
        </w:trPr>
        <w:tc>
          <w:tcPr>
            <w:tcW w:w="499" w:type="dxa"/>
          </w:tcPr>
          <w:p w:rsidR="00654881" w:rsidRPr="000F004A" w:rsidRDefault="00654881" w:rsidP="000508F9">
            <w:pPr>
              <w:pStyle w:val="afff2"/>
              <w:numPr>
                <w:ilvl w:val="0"/>
                <w:numId w:val="56"/>
              </w:numPr>
              <w:ind w:left="0" w:firstLine="85"/>
              <w:jc w:val="center"/>
              <w:rPr>
                <w:sz w:val="20"/>
                <w:szCs w:val="20"/>
              </w:rPr>
            </w:pPr>
          </w:p>
        </w:tc>
        <w:tc>
          <w:tcPr>
            <w:tcW w:w="3415" w:type="dxa"/>
          </w:tcPr>
          <w:p w:rsidR="00654881" w:rsidRPr="000F004A" w:rsidRDefault="00654881" w:rsidP="00654881">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З</w:t>
            </w:r>
            <w:r w:rsidRPr="000F004A">
              <w:rPr>
                <w:rFonts w:ascii="Times New Roman" w:eastAsia="MS Gothic" w:hAnsi="Times New Roman"/>
                <w:b/>
                <w:bCs/>
                <w:sz w:val="20"/>
                <w:szCs w:val="20"/>
                <w:lang w:val="ru"/>
              </w:rPr>
              <w:t>-К5</w:t>
            </w:r>
          </w:p>
        </w:tc>
        <w:tc>
          <w:tcPr>
            <w:tcW w:w="1980" w:type="dxa"/>
          </w:tcPr>
          <w:p w:rsidR="00654881" w:rsidRPr="000F004A" w:rsidRDefault="005C7746" w:rsidP="005C7746">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20</w:t>
            </w:r>
            <w:r w:rsidR="00654881" w:rsidRPr="000F004A">
              <w:rPr>
                <w:rFonts w:ascii="Times New Roman" w:eastAsia="MS Gothic" w:hAnsi="Times New Roman"/>
                <w:bCs/>
                <w:sz w:val="20"/>
                <w:szCs w:val="20"/>
                <w:lang w:val="ru"/>
              </w:rPr>
              <w:t xml:space="preserve"> 000</w:t>
            </w:r>
          </w:p>
        </w:tc>
        <w:tc>
          <w:tcPr>
            <w:tcW w:w="1741" w:type="dxa"/>
          </w:tcPr>
          <w:p w:rsidR="00654881" w:rsidRPr="000F004A" w:rsidRDefault="00654881" w:rsidP="005C7746">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w:t>
            </w:r>
            <w:r w:rsidR="005C7746">
              <w:rPr>
                <w:rFonts w:ascii="Times New Roman" w:eastAsia="MS Gothic" w:hAnsi="Times New Roman"/>
                <w:bCs/>
                <w:sz w:val="20"/>
                <w:szCs w:val="20"/>
                <w:lang w:val="ru"/>
              </w:rPr>
              <w:t>2</w:t>
            </w:r>
            <w:r w:rsidRPr="000F004A">
              <w:rPr>
                <w:rFonts w:ascii="Times New Roman" w:eastAsia="MS Gothic" w:hAnsi="Times New Roman"/>
                <w:bCs/>
                <w:sz w:val="20"/>
                <w:szCs w:val="20"/>
                <w:lang w:val="ru"/>
              </w:rPr>
              <w:t>,00</w:t>
            </w:r>
          </w:p>
        </w:tc>
        <w:tc>
          <w:tcPr>
            <w:tcW w:w="1829" w:type="dxa"/>
          </w:tcPr>
          <w:p w:rsidR="00654881" w:rsidRPr="000F004A" w:rsidRDefault="00654881" w:rsidP="005C7746">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 xml:space="preserve">1 </w:t>
            </w:r>
            <w:r w:rsidR="005C7746">
              <w:rPr>
                <w:rFonts w:ascii="Times New Roman" w:eastAsia="MS Gothic" w:hAnsi="Times New Roman"/>
                <w:b/>
                <w:bCs/>
                <w:sz w:val="20"/>
                <w:szCs w:val="20"/>
                <w:lang w:val="ru"/>
              </w:rPr>
              <w:t>440</w:t>
            </w:r>
            <w:r w:rsidRPr="000F004A">
              <w:rPr>
                <w:rFonts w:ascii="Times New Roman" w:eastAsia="MS Gothic" w:hAnsi="Times New Roman"/>
                <w:b/>
                <w:bCs/>
                <w:sz w:val="20"/>
                <w:szCs w:val="20"/>
                <w:lang w:val="ru"/>
              </w:rPr>
              <w:t> 000,00</w:t>
            </w:r>
          </w:p>
        </w:tc>
      </w:tr>
      <w:tr w:rsidR="00B166E3" w:rsidRPr="000F004A" w:rsidTr="00B166E3">
        <w:trPr>
          <w:trHeight w:val="57"/>
        </w:trPr>
        <w:tc>
          <w:tcPr>
            <w:tcW w:w="499" w:type="dxa"/>
          </w:tcPr>
          <w:p w:rsidR="00B166E3" w:rsidRPr="000F004A" w:rsidRDefault="00B166E3" w:rsidP="000508F9">
            <w:pPr>
              <w:pStyle w:val="afff2"/>
              <w:numPr>
                <w:ilvl w:val="0"/>
                <w:numId w:val="56"/>
              </w:numPr>
              <w:ind w:left="0" w:firstLine="85"/>
              <w:jc w:val="center"/>
              <w:rPr>
                <w:sz w:val="20"/>
                <w:szCs w:val="20"/>
              </w:rPr>
            </w:pPr>
          </w:p>
        </w:tc>
        <w:tc>
          <w:tcPr>
            <w:tcW w:w="3415" w:type="dxa"/>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Бензин 92</w:t>
            </w:r>
          </w:p>
        </w:tc>
        <w:tc>
          <w:tcPr>
            <w:tcW w:w="1980" w:type="dxa"/>
          </w:tcPr>
          <w:p w:rsidR="00B166E3" w:rsidRPr="000F004A" w:rsidRDefault="00B166E3" w:rsidP="00DD7DB4">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w:t>
            </w:r>
            <w:r w:rsidR="0065455B" w:rsidRPr="000F004A">
              <w:rPr>
                <w:rFonts w:ascii="Times New Roman" w:eastAsia="MS Gothic" w:hAnsi="Times New Roman"/>
                <w:bCs/>
                <w:sz w:val="20"/>
                <w:szCs w:val="20"/>
                <w:lang w:val="ru"/>
              </w:rPr>
              <w:t xml:space="preserve"> </w:t>
            </w:r>
            <w:r w:rsidRPr="000F004A">
              <w:rPr>
                <w:rFonts w:ascii="Times New Roman" w:eastAsia="MS Gothic" w:hAnsi="Times New Roman"/>
                <w:bCs/>
                <w:sz w:val="20"/>
                <w:szCs w:val="20"/>
                <w:lang w:val="ru"/>
              </w:rPr>
              <w:t>000</w:t>
            </w:r>
          </w:p>
        </w:tc>
        <w:tc>
          <w:tcPr>
            <w:tcW w:w="1741" w:type="dxa"/>
          </w:tcPr>
          <w:p w:rsidR="00B166E3" w:rsidRPr="000F004A" w:rsidRDefault="002265EF" w:rsidP="005C7746">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5C7746">
              <w:rPr>
                <w:rFonts w:ascii="Times New Roman" w:eastAsia="MS Gothic" w:hAnsi="Times New Roman"/>
                <w:bCs/>
                <w:sz w:val="20"/>
                <w:szCs w:val="20"/>
                <w:lang w:val="ru"/>
              </w:rPr>
              <w:t>3</w:t>
            </w:r>
            <w:r w:rsidR="00DC0335" w:rsidRPr="000F004A">
              <w:rPr>
                <w:rFonts w:ascii="Times New Roman" w:eastAsia="MS Gothic" w:hAnsi="Times New Roman"/>
                <w:bCs/>
                <w:sz w:val="20"/>
                <w:szCs w:val="20"/>
                <w:lang w:val="ru"/>
              </w:rPr>
              <w:t>,</w:t>
            </w:r>
            <w:r w:rsidR="005C7746">
              <w:rPr>
                <w:rFonts w:ascii="Times New Roman" w:eastAsia="MS Gothic" w:hAnsi="Times New Roman"/>
                <w:bCs/>
                <w:sz w:val="20"/>
                <w:szCs w:val="20"/>
                <w:lang w:val="ru"/>
              </w:rPr>
              <w:t>0</w:t>
            </w:r>
            <w:r w:rsidR="00DC0335" w:rsidRPr="000F004A">
              <w:rPr>
                <w:rFonts w:ascii="Times New Roman" w:eastAsia="MS Gothic" w:hAnsi="Times New Roman"/>
                <w:bCs/>
                <w:sz w:val="20"/>
                <w:szCs w:val="20"/>
                <w:lang w:val="ru"/>
              </w:rPr>
              <w:t>0</w:t>
            </w:r>
          </w:p>
        </w:tc>
        <w:tc>
          <w:tcPr>
            <w:tcW w:w="1829" w:type="dxa"/>
          </w:tcPr>
          <w:p w:rsidR="00B166E3" w:rsidRPr="000F004A" w:rsidRDefault="00F249E4" w:rsidP="005C774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sidR="00665F53" w:rsidRPr="000F004A">
              <w:rPr>
                <w:rFonts w:ascii="Times New Roman" w:eastAsia="MS Gothic" w:hAnsi="Times New Roman"/>
                <w:b/>
                <w:bCs/>
                <w:sz w:val="20"/>
                <w:szCs w:val="20"/>
                <w:lang w:val="ru"/>
              </w:rPr>
              <w:t>5</w:t>
            </w:r>
            <w:r w:rsidR="005C7746">
              <w:rPr>
                <w:rFonts w:ascii="Times New Roman" w:eastAsia="MS Gothic" w:hAnsi="Times New Roman"/>
                <w:b/>
                <w:bCs/>
                <w:sz w:val="20"/>
                <w:szCs w:val="20"/>
                <w:lang w:val="ru"/>
              </w:rPr>
              <w:t>90</w:t>
            </w:r>
            <w:r w:rsidRPr="000F004A">
              <w:rPr>
                <w:rFonts w:ascii="Times New Roman" w:eastAsia="MS Gothic" w:hAnsi="Times New Roman"/>
                <w:b/>
                <w:bCs/>
                <w:sz w:val="20"/>
                <w:szCs w:val="20"/>
                <w:lang w:val="ru"/>
              </w:rPr>
              <w:t> 000,00</w:t>
            </w:r>
          </w:p>
        </w:tc>
      </w:tr>
      <w:tr w:rsidR="00B166E3" w:rsidRPr="000F004A" w:rsidTr="00B166E3">
        <w:trPr>
          <w:trHeight w:val="57"/>
        </w:trPr>
        <w:tc>
          <w:tcPr>
            <w:tcW w:w="499" w:type="dxa"/>
          </w:tcPr>
          <w:p w:rsidR="00B166E3" w:rsidRPr="000F004A" w:rsidRDefault="00B166E3" w:rsidP="000508F9">
            <w:pPr>
              <w:pStyle w:val="afff2"/>
              <w:numPr>
                <w:ilvl w:val="0"/>
                <w:numId w:val="56"/>
              </w:numPr>
              <w:ind w:left="0" w:firstLine="85"/>
              <w:jc w:val="center"/>
              <w:rPr>
                <w:sz w:val="20"/>
                <w:szCs w:val="20"/>
              </w:rPr>
            </w:pPr>
          </w:p>
        </w:tc>
        <w:tc>
          <w:tcPr>
            <w:tcW w:w="3415" w:type="dxa"/>
          </w:tcPr>
          <w:p w:rsidR="00B166E3" w:rsidRPr="000F004A" w:rsidRDefault="00B166E3" w:rsidP="00DD7DB4">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Бензин 95</w:t>
            </w:r>
          </w:p>
        </w:tc>
        <w:tc>
          <w:tcPr>
            <w:tcW w:w="1980" w:type="dxa"/>
          </w:tcPr>
          <w:p w:rsidR="00B166E3" w:rsidRPr="000F004A" w:rsidRDefault="00B166E3" w:rsidP="00DD7DB4">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w:t>
            </w:r>
            <w:r w:rsidR="0065455B" w:rsidRPr="000F004A">
              <w:rPr>
                <w:rFonts w:ascii="Times New Roman" w:eastAsia="MS Gothic" w:hAnsi="Times New Roman"/>
                <w:bCs/>
                <w:sz w:val="20"/>
                <w:szCs w:val="20"/>
                <w:lang w:val="ru"/>
              </w:rPr>
              <w:t xml:space="preserve"> </w:t>
            </w:r>
            <w:r w:rsidRPr="000F004A">
              <w:rPr>
                <w:rFonts w:ascii="Times New Roman" w:eastAsia="MS Gothic" w:hAnsi="Times New Roman"/>
                <w:bCs/>
                <w:sz w:val="20"/>
                <w:szCs w:val="20"/>
                <w:lang w:val="ru"/>
              </w:rPr>
              <w:t>000</w:t>
            </w:r>
          </w:p>
        </w:tc>
        <w:tc>
          <w:tcPr>
            <w:tcW w:w="1741" w:type="dxa"/>
          </w:tcPr>
          <w:p w:rsidR="00B166E3" w:rsidRPr="000F004A" w:rsidRDefault="00B166E3" w:rsidP="00654881">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654881">
              <w:rPr>
                <w:rFonts w:ascii="Times New Roman" w:eastAsia="MS Gothic" w:hAnsi="Times New Roman"/>
                <w:bCs/>
                <w:sz w:val="20"/>
                <w:szCs w:val="20"/>
                <w:lang w:val="ru"/>
              </w:rPr>
              <w:t>8</w:t>
            </w:r>
            <w:r w:rsidR="00DC0335" w:rsidRPr="000F004A">
              <w:rPr>
                <w:rFonts w:ascii="Times New Roman" w:eastAsia="MS Gothic" w:hAnsi="Times New Roman"/>
                <w:bCs/>
                <w:sz w:val="20"/>
                <w:szCs w:val="20"/>
                <w:lang w:val="ru"/>
              </w:rPr>
              <w:t>,</w:t>
            </w:r>
            <w:r w:rsidR="00654881">
              <w:rPr>
                <w:rFonts w:ascii="Times New Roman" w:eastAsia="MS Gothic" w:hAnsi="Times New Roman"/>
                <w:bCs/>
                <w:sz w:val="20"/>
                <w:szCs w:val="20"/>
                <w:lang w:val="ru"/>
              </w:rPr>
              <w:t>0</w:t>
            </w:r>
            <w:r w:rsidR="00DC0335" w:rsidRPr="000F004A">
              <w:rPr>
                <w:rFonts w:ascii="Times New Roman" w:eastAsia="MS Gothic" w:hAnsi="Times New Roman"/>
                <w:bCs/>
                <w:sz w:val="20"/>
                <w:szCs w:val="20"/>
                <w:lang w:val="ru"/>
              </w:rPr>
              <w:t>0</w:t>
            </w:r>
          </w:p>
        </w:tc>
        <w:tc>
          <w:tcPr>
            <w:tcW w:w="1829" w:type="dxa"/>
          </w:tcPr>
          <w:p w:rsidR="00B166E3" w:rsidRPr="000F004A" w:rsidRDefault="00654881" w:rsidP="00654881">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406 0</w:t>
            </w:r>
            <w:r w:rsidR="00F249E4" w:rsidRPr="000F004A">
              <w:rPr>
                <w:rFonts w:ascii="Times New Roman" w:eastAsia="MS Gothic" w:hAnsi="Times New Roman"/>
                <w:b/>
                <w:bCs/>
                <w:sz w:val="20"/>
                <w:szCs w:val="20"/>
                <w:lang w:val="ru"/>
              </w:rPr>
              <w:t>00,00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5C7746" w:rsidP="00654881">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4 076</w:t>
            </w:r>
            <w:r w:rsidR="00654881">
              <w:rPr>
                <w:rFonts w:ascii="Times New Roman" w:eastAsia="MS Gothic" w:hAnsi="Times New Roman"/>
                <w:b/>
                <w:bCs/>
                <w:sz w:val="20"/>
                <w:szCs w:val="20"/>
                <w:lang w:val="ru"/>
              </w:rPr>
              <w:t xml:space="preserve"> 0</w:t>
            </w:r>
            <w:r w:rsidR="00F249E4" w:rsidRPr="000F004A">
              <w:rPr>
                <w:rFonts w:ascii="Times New Roman" w:eastAsia="MS Gothic" w:hAnsi="Times New Roman"/>
                <w:b/>
                <w:bCs/>
                <w:sz w:val="20"/>
                <w:szCs w:val="20"/>
                <w:lang w:val="ru"/>
              </w:rPr>
              <w:t>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1242AB" w:rsidP="005C7746">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6</w:t>
            </w:r>
            <w:r w:rsidR="005C7746">
              <w:rPr>
                <w:rFonts w:ascii="Times New Roman" w:eastAsia="MS Gothic" w:hAnsi="Times New Roman"/>
                <w:b/>
                <w:bCs/>
                <w:sz w:val="20"/>
                <w:szCs w:val="20"/>
                <w:lang w:val="ru"/>
              </w:rPr>
              <w:t>79 333</w:t>
            </w:r>
            <w:r>
              <w:rPr>
                <w:rFonts w:ascii="Times New Roman" w:eastAsia="MS Gothic" w:hAnsi="Times New Roman"/>
                <w:b/>
                <w:bCs/>
                <w:sz w:val="20"/>
                <w:szCs w:val="20"/>
                <w:lang w:val="ru"/>
              </w:rPr>
              <w:t>,</w:t>
            </w:r>
            <w:r w:rsidR="005C7746">
              <w:rPr>
                <w:rFonts w:ascii="Times New Roman" w:eastAsia="MS Gothic" w:hAnsi="Times New Roman"/>
                <w:b/>
                <w:bCs/>
                <w:sz w:val="20"/>
                <w:szCs w:val="20"/>
                <w:lang w:val="ru"/>
              </w:rPr>
              <w:t>33</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5C7746">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5C7746" w:rsidRPr="005C7746">
              <w:rPr>
                <w:rFonts w:ascii="Times New Roman" w:hAnsi="Times New Roman"/>
                <w:color w:val="000000"/>
              </w:rPr>
              <w:t xml:space="preserve">7.2 (Форма </w:t>
            </w:r>
            <w:r w:rsidR="005C7746" w:rsidRPr="005C7746">
              <w:rPr>
                <w:rFonts w:ascii="Times New Roman" w:hAnsi="Times New Roman"/>
              </w:rPr>
              <w:t>2)</w:t>
            </w:r>
            <w:r w:rsidR="005C7746"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D93168" w:rsidRPr="00466604" w:rsidTr="00221CE0">
        <w:trPr>
          <w:trHeight w:val="578"/>
        </w:trPr>
        <w:tc>
          <w:tcPr>
            <w:tcW w:w="567" w:type="dxa"/>
          </w:tcPr>
          <w:p w:rsidR="00D93168" w:rsidRPr="00466604" w:rsidRDefault="00D93168" w:rsidP="00105700">
            <w:pPr>
              <w:numPr>
                <w:ilvl w:val="0"/>
                <w:numId w:val="37"/>
              </w:numPr>
              <w:spacing w:after="0" w:line="240" w:lineRule="auto"/>
              <w:ind w:left="0" w:firstLine="85"/>
              <w:jc w:val="both"/>
              <w:rPr>
                <w:rFonts w:ascii="Times New Roman" w:hAnsi="Times New Roman"/>
              </w:rPr>
            </w:pPr>
          </w:p>
        </w:tc>
        <w:tc>
          <w:tcPr>
            <w:tcW w:w="1560" w:type="dxa"/>
          </w:tcPr>
          <w:p w:rsidR="00D93168" w:rsidRPr="00D93168" w:rsidRDefault="00D93168" w:rsidP="00D93168">
            <w:pPr>
              <w:spacing w:after="0"/>
              <w:ind w:left="57" w:right="57"/>
              <w:contextualSpacing/>
              <w:rPr>
                <w:rFonts w:ascii="Times New Roman" w:hAnsi="Times New Roman"/>
              </w:rPr>
            </w:pPr>
            <w:r w:rsidRPr="00D93168">
              <w:rPr>
                <w:rFonts w:ascii="Times New Roman" w:hAnsi="Times New Roman"/>
              </w:rPr>
              <w:t xml:space="preserve">Дизельное топливо </w:t>
            </w:r>
          </w:p>
          <w:p w:rsidR="00D93168" w:rsidRDefault="00D93168" w:rsidP="00654881">
            <w:pPr>
              <w:spacing w:after="0"/>
              <w:ind w:left="57" w:right="57"/>
              <w:contextualSpacing/>
              <w:rPr>
                <w:rFonts w:ascii="Times New Roman" w:hAnsi="Times New Roman"/>
              </w:rPr>
            </w:pPr>
            <w:r w:rsidRPr="00D93168">
              <w:rPr>
                <w:rFonts w:ascii="Times New Roman" w:hAnsi="Times New Roman"/>
              </w:rPr>
              <w:t>ДТ-</w:t>
            </w:r>
            <w:r w:rsidR="00654881">
              <w:rPr>
                <w:rFonts w:ascii="Times New Roman" w:hAnsi="Times New Roman"/>
              </w:rPr>
              <w:t>Е</w:t>
            </w:r>
            <w:r w:rsidRPr="00D93168">
              <w:rPr>
                <w:rFonts w:ascii="Times New Roman" w:hAnsi="Times New Roman"/>
              </w:rPr>
              <w:t>-К5</w:t>
            </w:r>
          </w:p>
        </w:tc>
        <w:tc>
          <w:tcPr>
            <w:tcW w:w="1275" w:type="dxa"/>
          </w:tcPr>
          <w:p w:rsidR="00D93168" w:rsidRDefault="00654881" w:rsidP="005C7746">
            <w:pPr>
              <w:spacing w:after="0"/>
              <w:ind w:left="57" w:right="57"/>
              <w:contextualSpacing/>
              <w:jc w:val="center"/>
              <w:rPr>
                <w:rFonts w:ascii="Times New Roman" w:hAnsi="Times New Roman"/>
              </w:rPr>
            </w:pPr>
            <w:r>
              <w:rPr>
                <w:rFonts w:ascii="Times New Roman" w:hAnsi="Times New Roman"/>
              </w:rPr>
              <w:t>1</w:t>
            </w:r>
            <w:r w:rsidR="005C7746">
              <w:rPr>
                <w:rFonts w:ascii="Times New Roman" w:hAnsi="Times New Roman"/>
              </w:rPr>
              <w:t>0</w:t>
            </w:r>
            <w:r w:rsidR="00D93168">
              <w:rPr>
                <w:rFonts w:ascii="Times New Roman" w:hAnsi="Times New Roman"/>
              </w:rPr>
              <w:t xml:space="preserve"> 000</w:t>
            </w:r>
          </w:p>
        </w:tc>
        <w:tc>
          <w:tcPr>
            <w:tcW w:w="2552"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r>
      <w:tr w:rsidR="00654881" w:rsidRPr="00466604" w:rsidTr="00221CE0">
        <w:trPr>
          <w:trHeight w:val="578"/>
        </w:trPr>
        <w:tc>
          <w:tcPr>
            <w:tcW w:w="567" w:type="dxa"/>
          </w:tcPr>
          <w:p w:rsidR="00654881" w:rsidRPr="00466604" w:rsidRDefault="00654881" w:rsidP="00105700">
            <w:pPr>
              <w:numPr>
                <w:ilvl w:val="0"/>
                <w:numId w:val="37"/>
              </w:numPr>
              <w:spacing w:after="0" w:line="240" w:lineRule="auto"/>
              <w:ind w:left="0" w:firstLine="85"/>
              <w:jc w:val="both"/>
              <w:rPr>
                <w:rFonts w:ascii="Times New Roman" w:hAnsi="Times New Roman"/>
              </w:rPr>
            </w:pPr>
          </w:p>
        </w:tc>
        <w:tc>
          <w:tcPr>
            <w:tcW w:w="1560" w:type="dxa"/>
          </w:tcPr>
          <w:p w:rsidR="00654881" w:rsidRPr="00D93168" w:rsidRDefault="00654881" w:rsidP="005C7746">
            <w:pPr>
              <w:spacing w:after="0"/>
              <w:ind w:left="57" w:right="57"/>
              <w:contextualSpacing/>
              <w:rPr>
                <w:rFonts w:ascii="Times New Roman" w:hAnsi="Times New Roman"/>
              </w:rPr>
            </w:pPr>
            <w:r w:rsidRPr="00D93168">
              <w:rPr>
                <w:rFonts w:ascii="Times New Roman" w:hAnsi="Times New Roman"/>
              </w:rPr>
              <w:t xml:space="preserve">Дизельное топливо </w:t>
            </w:r>
          </w:p>
          <w:p w:rsidR="00654881" w:rsidRDefault="00654881" w:rsidP="00654881">
            <w:pPr>
              <w:spacing w:after="0"/>
              <w:ind w:left="57" w:right="57"/>
              <w:contextualSpacing/>
              <w:rPr>
                <w:rFonts w:ascii="Times New Roman" w:hAnsi="Times New Roman"/>
              </w:rPr>
            </w:pPr>
            <w:r w:rsidRPr="00D93168">
              <w:rPr>
                <w:rFonts w:ascii="Times New Roman" w:hAnsi="Times New Roman"/>
              </w:rPr>
              <w:t>ДТ-</w:t>
            </w:r>
            <w:r>
              <w:rPr>
                <w:rFonts w:ascii="Times New Roman" w:hAnsi="Times New Roman"/>
              </w:rPr>
              <w:t>З</w:t>
            </w:r>
            <w:r w:rsidRPr="00D93168">
              <w:rPr>
                <w:rFonts w:ascii="Times New Roman" w:hAnsi="Times New Roman"/>
              </w:rPr>
              <w:t>-К5</w:t>
            </w:r>
          </w:p>
        </w:tc>
        <w:tc>
          <w:tcPr>
            <w:tcW w:w="1275" w:type="dxa"/>
          </w:tcPr>
          <w:p w:rsidR="00654881" w:rsidRDefault="005C7746" w:rsidP="005C7746">
            <w:pPr>
              <w:spacing w:after="0"/>
              <w:ind w:left="57" w:right="57"/>
              <w:contextualSpacing/>
              <w:jc w:val="center"/>
              <w:rPr>
                <w:rFonts w:ascii="Times New Roman" w:hAnsi="Times New Roman"/>
              </w:rPr>
            </w:pPr>
            <w:r>
              <w:rPr>
                <w:rFonts w:ascii="Times New Roman" w:hAnsi="Times New Roman"/>
              </w:rPr>
              <w:t>20</w:t>
            </w:r>
            <w:r w:rsidR="00654881">
              <w:rPr>
                <w:rFonts w:ascii="Times New Roman" w:hAnsi="Times New Roman"/>
              </w:rPr>
              <w:t xml:space="preserve"> 000</w:t>
            </w:r>
          </w:p>
        </w:tc>
        <w:tc>
          <w:tcPr>
            <w:tcW w:w="2552" w:type="dxa"/>
          </w:tcPr>
          <w:p w:rsidR="00654881" w:rsidRPr="00466604" w:rsidRDefault="00654881" w:rsidP="005E349F">
            <w:pPr>
              <w:spacing w:after="0"/>
              <w:ind w:left="57" w:right="57"/>
              <w:contextualSpacing/>
              <w:rPr>
                <w:rFonts w:ascii="Times New Roman" w:hAnsi="Times New Roman"/>
              </w:rPr>
            </w:pPr>
          </w:p>
        </w:tc>
        <w:tc>
          <w:tcPr>
            <w:tcW w:w="1276" w:type="dxa"/>
          </w:tcPr>
          <w:p w:rsidR="00654881" w:rsidRPr="00466604" w:rsidRDefault="00654881" w:rsidP="005E349F">
            <w:pPr>
              <w:spacing w:after="0"/>
              <w:ind w:left="57" w:right="57"/>
              <w:contextualSpacing/>
              <w:rPr>
                <w:rFonts w:ascii="Times New Roman" w:hAnsi="Times New Roman"/>
              </w:rPr>
            </w:pPr>
          </w:p>
        </w:tc>
        <w:tc>
          <w:tcPr>
            <w:tcW w:w="1276" w:type="dxa"/>
          </w:tcPr>
          <w:p w:rsidR="00654881" w:rsidRPr="00466604" w:rsidRDefault="00654881" w:rsidP="005E349F">
            <w:pPr>
              <w:spacing w:after="0"/>
              <w:ind w:left="57" w:right="57"/>
              <w:contextualSpacing/>
              <w:rPr>
                <w:rFonts w:ascii="Times New Roman" w:hAnsi="Times New Roman"/>
              </w:rPr>
            </w:pPr>
          </w:p>
        </w:tc>
      </w:tr>
      <w:tr w:rsidR="006C6159" w:rsidRPr="00466604" w:rsidTr="00221CE0">
        <w:trPr>
          <w:trHeight w:val="289"/>
        </w:trPr>
        <w:tc>
          <w:tcPr>
            <w:tcW w:w="567" w:type="dxa"/>
          </w:tcPr>
          <w:p w:rsidR="006C6159" w:rsidRPr="00466604" w:rsidRDefault="006C6159" w:rsidP="00105700">
            <w:pPr>
              <w:numPr>
                <w:ilvl w:val="0"/>
                <w:numId w:val="37"/>
              </w:numPr>
              <w:spacing w:after="0" w:line="240" w:lineRule="auto"/>
              <w:ind w:left="0" w:firstLine="85"/>
              <w:jc w:val="both"/>
              <w:rPr>
                <w:rFonts w:ascii="Times New Roman" w:hAnsi="Times New Roman"/>
              </w:rPr>
            </w:pPr>
          </w:p>
        </w:tc>
        <w:tc>
          <w:tcPr>
            <w:tcW w:w="1560" w:type="dxa"/>
          </w:tcPr>
          <w:p w:rsidR="006C6159" w:rsidRPr="00466604" w:rsidRDefault="006C6159" w:rsidP="005E349F">
            <w:pPr>
              <w:spacing w:after="0"/>
              <w:ind w:left="57" w:right="57"/>
              <w:contextualSpacing/>
              <w:rPr>
                <w:rFonts w:ascii="Times New Roman" w:hAnsi="Times New Roman"/>
              </w:rPr>
            </w:pPr>
            <w:r>
              <w:rPr>
                <w:rFonts w:ascii="Times New Roman" w:hAnsi="Times New Roman"/>
              </w:rPr>
              <w:t>Бензин 92</w:t>
            </w:r>
          </w:p>
        </w:tc>
        <w:tc>
          <w:tcPr>
            <w:tcW w:w="1275" w:type="dxa"/>
          </w:tcPr>
          <w:p w:rsidR="006C6159" w:rsidRPr="00466604" w:rsidRDefault="00750CD0" w:rsidP="00750CD0">
            <w:pPr>
              <w:spacing w:after="0"/>
              <w:ind w:left="57" w:right="57"/>
              <w:contextualSpacing/>
              <w:jc w:val="center"/>
              <w:rPr>
                <w:rFonts w:ascii="Times New Roman" w:hAnsi="Times New Roman"/>
              </w:rPr>
            </w:pPr>
            <w:r>
              <w:rPr>
                <w:rFonts w:ascii="Times New Roman" w:hAnsi="Times New Roman"/>
              </w:rPr>
              <w:t xml:space="preserve">30 </w:t>
            </w:r>
            <w:r w:rsidR="006C6159">
              <w:rPr>
                <w:rFonts w:ascii="Times New Roman" w:hAnsi="Times New Roman"/>
              </w:rPr>
              <w:t>000</w:t>
            </w: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221CE0">
        <w:trPr>
          <w:trHeight w:val="289"/>
        </w:trPr>
        <w:tc>
          <w:tcPr>
            <w:tcW w:w="567" w:type="dxa"/>
          </w:tcPr>
          <w:p w:rsidR="006C6159" w:rsidRPr="00466604" w:rsidRDefault="006C6159" w:rsidP="00105700">
            <w:pPr>
              <w:numPr>
                <w:ilvl w:val="0"/>
                <w:numId w:val="37"/>
              </w:numPr>
              <w:spacing w:after="0" w:line="240" w:lineRule="auto"/>
              <w:ind w:left="0" w:firstLine="85"/>
              <w:jc w:val="both"/>
              <w:rPr>
                <w:rFonts w:ascii="Times New Roman" w:hAnsi="Times New Roman"/>
              </w:rPr>
            </w:pPr>
          </w:p>
        </w:tc>
        <w:tc>
          <w:tcPr>
            <w:tcW w:w="1560" w:type="dxa"/>
          </w:tcPr>
          <w:p w:rsidR="006C6159" w:rsidRPr="00466604" w:rsidRDefault="006C6159" w:rsidP="005E349F">
            <w:pPr>
              <w:spacing w:after="0"/>
              <w:ind w:left="57" w:right="57"/>
              <w:contextualSpacing/>
              <w:rPr>
                <w:rFonts w:ascii="Times New Roman" w:hAnsi="Times New Roman"/>
              </w:rPr>
            </w:pPr>
            <w:r>
              <w:rPr>
                <w:rFonts w:ascii="Times New Roman" w:hAnsi="Times New Roman"/>
              </w:rPr>
              <w:t>Бензин 95</w:t>
            </w:r>
          </w:p>
        </w:tc>
        <w:tc>
          <w:tcPr>
            <w:tcW w:w="1275" w:type="dxa"/>
          </w:tcPr>
          <w:p w:rsidR="006C6159" w:rsidRPr="00466604" w:rsidRDefault="006C6159" w:rsidP="006C6159">
            <w:pPr>
              <w:spacing w:after="0"/>
              <w:ind w:left="57" w:right="57"/>
              <w:contextualSpacing/>
              <w:jc w:val="center"/>
              <w:rPr>
                <w:rFonts w:ascii="Times New Roman" w:hAnsi="Times New Roman"/>
              </w:rPr>
            </w:pPr>
            <w:r>
              <w:rPr>
                <w:rFonts w:ascii="Times New Roman" w:hAnsi="Times New Roman"/>
              </w:rPr>
              <w:t>7 000</w:t>
            </w: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661920" w:rsidRPr="007F7C6A" w:rsidRDefault="00AF773A" w:rsidP="00661920">
      <w:pPr>
        <w:pStyle w:val="11"/>
        <w:numPr>
          <w:ilvl w:val="0"/>
          <w:numId w:val="0"/>
        </w:numPr>
        <w:tabs>
          <w:tab w:val="left" w:pos="708"/>
        </w:tabs>
        <w:ind w:left="284"/>
        <w:jc w:val="center"/>
        <w:rPr>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r>
        <w:rPr>
          <w:b/>
          <w:lang w:val="ru-RU"/>
        </w:rPr>
        <w:t xml:space="preserve">РАЗДЕЛ </w:t>
      </w:r>
      <w:r w:rsidR="00661920">
        <w:rPr>
          <w:b/>
        </w:rPr>
        <w:t xml:space="preserve"> </w:t>
      </w:r>
      <w:r w:rsidR="00211D50">
        <w:rPr>
          <w:b/>
          <w:lang w:val="ru-RU"/>
        </w:rPr>
        <w:t>8</w:t>
      </w:r>
      <w:r w:rsidR="00661920">
        <w:rPr>
          <w:b/>
        </w:rPr>
        <w:t>. ПРОЕКТ ДОГОВОРА</w:t>
      </w:r>
      <w:r w:rsidR="007F7C6A">
        <w:rPr>
          <w:b/>
          <w:lang w:val="ru-RU"/>
        </w:rPr>
        <w:t xml:space="preserve"> </w:t>
      </w:r>
      <w:r w:rsidR="002415CC">
        <w:rPr>
          <w:b/>
          <w:lang w:val="ru-RU"/>
        </w:rPr>
        <w:t>1</w:t>
      </w:r>
      <w:r w:rsidR="005C7746">
        <w:rPr>
          <w:b/>
          <w:lang w:val="ru-RU"/>
        </w:rPr>
        <w:t>8</w:t>
      </w:r>
      <w:r w:rsidR="007F7C6A">
        <w:rPr>
          <w:b/>
          <w:lang w:val="ru-RU"/>
        </w:rPr>
        <w:t>-2</w:t>
      </w:r>
      <w:r w:rsidR="00EC3CF3">
        <w:rPr>
          <w:b/>
          <w:lang w:val="ru-RU"/>
        </w:rPr>
        <w:t>3</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Ind w:w="-1692" w:type="dxa"/>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5C7746">
              <w:rPr>
                <w:rFonts w:ascii="Times New Roman" w:hAnsi="Times New Roman"/>
                <w:spacing w:val="-1"/>
                <w:sz w:val="24"/>
                <w:szCs w:val="24"/>
              </w:rPr>
              <w:t>4</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__________________, с  одной стороны, и </w:t>
      </w: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roofErr w:type="gramEnd"/>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а  ПОКУПАТЕЛЬ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Право собственности на нефтепродукты, поставляемые по настоящему Договору, переходит к ПОКУПАТЕЛЮ в момент их фактического получения  на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 xml:space="preserve">АЗС на </w:t>
      </w:r>
      <w:proofErr w:type="gramStart"/>
      <w:r w:rsidRPr="007F7C6A">
        <w:rPr>
          <w:rFonts w:ascii="Times New Roman" w:hAnsi="Times New Roman"/>
          <w:sz w:val="24"/>
          <w:szCs w:val="24"/>
        </w:rPr>
        <w:t>которых</w:t>
      </w:r>
      <w:proofErr w:type="gramEnd"/>
      <w:r w:rsidRPr="007F7C6A">
        <w:rPr>
          <w:rFonts w:ascii="Times New Roman" w:hAnsi="Times New Roman"/>
          <w:sz w:val="24"/>
          <w:szCs w:val="24"/>
        </w:rPr>
        <w:t>,  ПОКУПАТЕЛЬ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lastRenderedPageBreak/>
        <w:t>в одностороннем порядке вносить  дополнения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своевременно информировать ПОКУПАТЕЛЯ о прекращении приема карт на </w:t>
      </w:r>
      <w:proofErr w:type="gramStart"/>
      <w:r w:rsidRPr="007F7C6A">
        <w:rPr>
          <w:rFonts w:ascii="Times New Roman" w:hAnsi="Times New Roman"/>
          <w:sz w:val="24"/>
          <w:szCs w:val="24"/>
        </w:rPr>
        <w:t>какой-либо</w:t>
      </w:r>
      <w:proofErr w:type="gramEnd"/>
      <w:r w:rsidRPr="007F7C6A">
        <w:rPr>
          <w:rFonts w:ascii="Times New Roman" w:hAnsi="Times New Roman"/>
          <w:sz w:val="24"/>
          <w:szCs w:val="24"/>
        </w:rPr>
        <w:t xml:space="preserve">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до 10-го числа месяца, следующего за отчетным оформить и направить ПОКУПАТЕЛЮ посредством электронной почты, либо факсимильной </w:t>
      </w:r>
      <w:proofErr w:type="gramStart"/>
      <w:r w:rsidRPr="007F7C6A">
        <w:rPr>
          <w:rFonts w:ascii="Times New Roman" w:hAnsi="Times New Roman"/>
          <w:sz w:val="24"/>
          <w:szCs w:val="24"/>
        </w:rPr>
        <w:t>связи</w:t>
      </w:r>
      <w:proofErr w:type="gramEnd"/>
      <w:r w:rsidRPr="007F7C6A">
        <w:rPr>
          <w:rFonts w:ascii="Times New Roman" w:hAnsi="Times New Roman"/>
          <w:sz w:val="24"/>
          <w:szCs w:val="24"/>
        </w:rPr>
        <w:t xml:space="preserve"> оформленные в соответствии с законодательством первичные бухгалтерские документы. Если ПОКУПАТЕЛЬ не указал  или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месяца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Если ПОКУПАТЕЛЬ не указал  или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в случае</w:t>
      </w:r>
      <w:proofErr w:type="gramStart"/>
      <w:r w:rsidRPr="007F7C6A">
        <w:rPr>
          <w:rFonts w:ascii="Times New Roman" w:hAnsi="Times New Roman"/>
          <w:sz w:val="24"/>
          <w:szCs w:val="24"/>
        </w:rPr>
        <w:t>,</w:t>
      </w:r>
      <w:proofErr w:type="gramEnd"/>
      <w:r w:rsidRPr="007F7C6A">
        <w:rPr>
          <w:rFonts w:ascii="Times New Roman" w:hAnsi="Times New Roman"/>
          <w:sz w:val="24"/>
          <w:szCs w:val="24"/>
        </w:rPr>
        <w:t xml:space="preserve">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с </w:t>
      </w:r>
      <w:proofErr w:type="gramStart"/>
      <w:r w:rsidRPr="007F7C6A">
        <w:rPr>
          <w:rFonts w:ascii="Times New Roman" w:hAnsi="Times New Roman"/>
          <w:sz w:val="24"/>
          <w:szCs w:val="24"/>
        </w:rPr>
        <w:t>информацией</w:t>
      </w:r>
      <w:proofErr w:type="gramEnd"/>
      <w:r w:rsidRPr="007F7C6A">
        <w:rPr>
          <w:rFonts w:ascii="Times New Roman" w:hAnsi="Times New Roman"/>
          <w:sz w:val="24"/>
          <w:szCs w:val="24"/>
        </w:rPr>
        <w:t xml:space="preserve">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w:t>
      </w:r>
      <w:proofErr w:type="gramStart"/>
      <w:r w:rsidRPr="007F7C6A">
        <w:rPr>
          <w:rFonts w:ascii="Times New Roman" w:hAnsi="Times New Roman"/>
          <w:sz w:val="24"/>
          <w:szCs w:val="24"/>
        </w:rPr>
        <w:t>с даты получения</w:t>
      </w:r>
      <w:proofErr w:type="gramEnd"/>
      <w:r w:rsidRPr="007F7C6A">
        <w:rPr>
          <w:rFonts w:ascii="Times New Roman" w:hAnsi="Times New Roman"/>
          <w:sz w:val="24"/>
          <w:szCs w:val="24"/>
        </w:rPr>
        <w:t xml:space="preserve">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w:t>
      </w:r>
      <w:proofErr w:type="gramStart"/>
      <w:r w:rsidRPr="007F7C6A">
        <w:rPr>
          <w:rFonts w:ascii="Times New Roman" w:hAnsi="Times New Roman"/>
          <w:sz w:val="24"/>
          <w:szCs w:val="24"/>
        </w:rPr>
        <w:t>оплатить их стоимость по</w:t>
      </w:r>
      <w:proofErr w:type="gramEnd"/>
      <w:r w:rsidRPr="007F7C6A">
        <w:rPr>
          <w:rFonts w:ascii="Times New Roman" w:hAnsi="Times New Roman"/>
          <w:sz w:val="24"/>
          <w:szCs w:val="24"/>
        </w:rPr>
        <w:t xml:space="preserve"> цене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w:t>
      </w:r>
      <w:proofErr w:type="gramStart"/>
      <w:r w:rsidRPr="007F7C6A">
        <w:rPr>
          <w:rFonts w:ascii="Times New Roman" w:hAnsi="Times New Roman"/>
          <w:sz w:val="24"/>
          <w:szCs w:val="24"/>
        </w:rPr>
        <w:t>нефтепродуктов, полученных ПОКУПАТЕЛЕМ на АЗС  определяется</w:t>
      </w:r>
      <w:proofErr w:type="gramEnd"/>
      <w:r w:rsidRPr="007F7C6A">
        <w:rPr>
          <w:rFonts w:ascii="Times New Roman" w:hAnsi="Times New Roman"/>
          <w:sz w:val="24"/>
          <w:szCs w:val="24"/>
        </w:rPr>
        <w:t xml:space="preserve">,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качества  находящимся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lastRenderedPageBreak/>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proofErr w:type="gramStart"/>
      <w:r w:rsidRPr="007F7C6A">
        <w:rPr>
          <w:rFonts w:ascii="Times New Roman" w:hAnsi="Times New Roman"/>
          <w:sz w:val="24"/>
          <w:szCs w:val="24"/>
        </w:rPr>
        <w:t>В случае  подтверждения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w:t>
      </w:r>
      <w:proofErr w:type="gramEnd"/>
      <w:r w:rsidRPr="007F7C6A">
        <w:rPr>
          <w:rFonts w:ascii="Times New Roman" w:hAnsi="Times New Roman"/>
          <w:sz w:val="24"/>
          <w:szCs w:val="24"/>
        </w:rPr>
        <w:t xml:space="preserve">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7.1.</w:t>
      </w:r>
      <w:r w:rsidRPr="007F7C6A">
        <w:rPr>
          <w:rFonts w:ascii="Times New Roman" w:hAnsi="Times New Roman"/>
          <w:sz w:val="24"/>
          <w:szCs w:val="24"/>
        </w:rPr>
        <w:tab/>
      </w:r>
      <w:proofErr w:type="gramStart"/>
      <w:r w:rsidRPr="007F7C6A">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w:t>
      </w:r>
      <w:proofErr w:type="gramEnd"/>
      <w:r w:rsidRPr="007F7C6A">
        <w:rPr>
          <w:rFonts w:ascii="Times New Roman" w:hAnsi="Times New Roman"/>
          <w:sz w:val="24"/>
          <w:szCs w:val="24"/>
        </w:rPr>
        <w:t xml:space="preserve">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7.2.</w:t>
      </w:r>
      <w:r w:rsidRPr="007F7C6A">
        <w:rPr>
          <w:rFonts w:ascii="Times New Roman" w:hAnsi="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7.3. </w:t>
      </w:r>
      <w:r w:rsidRPr="007F7C6A">
        <w:rPr>
          <w:rFonts w:ascii="Times New Roman" w:hAnsi="Times New Roman"/>
          <w:sz w:val="24"/>
          <w:szCs w:val="24"/>
        </w:rPr>
        <w:tab/>
        <w:t>Не извещение или несвоевременное извещение другой Стороны согласно пункту 7.</w:t>
      </w:r>
      <w:r>
        <w:rPr>
          <w:rFonts w:ascii="Times New Roman" w:hAnsi="Times New Roman"/>
          <w:sz w:val="24"/>
          <w:szCs w:val="24"/>
        </w:rPr>
        <w:t>4</w:t>
      </w:r>
      <w:r w:rsidRPr="007F7C6A">
        <w:rPr>
          <w:rFonts w:ascii="Times New Roman" w:hAnsi="Times New Roman"/>
          <w:sz w:val="24"/>
          <w:szCs w:val="24"/>
        </w:rPr>
        <w:t>. влечет за собой утрату права ссылаться на эти обстоятельства.</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w:t>
      </w:r>
      <w:r>
        <w:rPr>
          <w:rFonts w:ascii="Times New Roman" w:hAnsi="Times New Roman"/>
          <w:sz w:val="24"/>
          <w:szCs w:val="24"/>
        </w:rPr>
        <w:t>5</w:t>
      </w:r>
      <w:r w:rsidRPr="007F7C6A">
        <w:rPr>
          <w:rFonts w:ascii="Times New Roman" w:hAnsi="Times New Roman"/>
          <w:sz w:val="24"/>
          <w:szCs w:val="24"/>
        </w:rPr>
        <w:t xml:space="preserve">. </w:t>
      </w:r>
      <w:r w:rsidRPr="007F7C6A">
        <w:rPr>
          <w:rFonts w:ascii="Times New Roman" w:hAnsi="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7F7C6A" w:rsidRPr="007F7C6A" w:rsidRDefault="007F7C6A" w:rsidP="007F7C6A">
      <w:pPr>
        <w:tabs>
          <w:tab w:val="left" w:pos="720"/>
        </w:tabs>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81.1.    </w:t>
      </w:r>
      <w:r w:rsidRPr="007F7C6A">
        <w:rPr>
          <w:rFonts w:ascii="Times New Roman" w:hAnsi="Times New Roman"/>
          <w:sz w:val="24"/>
          <w:szCs w:val="24"/>
        </w:rPr>
        <w:t xml:space="preserve">Настоящий Договор вступает в силу с </w:t>
      </w:r>
      <w:r w:rsidR="009755A0">
        <w:rPr>
          <w:rFonts w:ascii="Times New Roman" w:hAnsi="Times New Roman"/>
          <w:sz w:val="24"/>
          <w:szCs w:val="24"/>
        </w:rPr>
        <w:t>момента подписания</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Любая из сторон вправе расторгнуть настоящий Договор в одностороннем порядке, письменно уведомив другую сторону за 30 (Тридцать) дней до предполагаемой 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proofErr w:type="gramStart"/>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roofErr w:type="gramEnd"/>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10. АДРЕСА  И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lastRenderedPageBreak/>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w:t>
            </w:r>
            <w:proofErr w:type="gramStart"/>
            <w:r w:rsidRPr="007F7C6A">
              <w:rPr>
                <w:rFonts w:ascii="Times New Roman" w:hAnsi="Times New Roman"/>
                <w:sz w:val="24"/>
                <w:szCs w:val="24"/>
              </w:rPr>
              <w:t>Ленинградская</w:t>
            </w:r>
            <w:proofErr w:type="gramEnd"/>
            <w:r w:rsidRPr="007F7C6A">
              <w:rPr>
                <w:rFonts w:ascii="Times New Roman" w:hAnsi="Times New Roman"/>
                <w:sz w:val="24"/>
                <w:szCs w:val="24"/>
              </w:rPr>
              <w:t xml:space="preserve">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proofErr w:type="gramStart"/>
            <w:r w:rsidRPr="007F7C6A">
              <w:rPr>
                <w:rFonts w:ascii="Times New Roman" w:hAnsi="Times New Roman"/>
                <w:sz w:val="24"/>
                <w:szCs w:val="24"/>
              </w:rPr>
              <w:t>р</w:t>
            </w:r>
            <w:proofErr w:type="gramEnd"/>
            <w:r w:rsidRPr="007F7C6A">
              <w:rPr>
                <w:rFonts w:ascii="Times New Roman" w:hAnsi="Times New Roman"/>
                <w:sz w:val="24"/>
                <w:szCs w:val="24"/>
              </w:rPr>
              <w:t>/с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ИНН4704062064  КПП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1054700176893  ОКПО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5C7746">
        <w:rPr>
          <w:rFonts w:ascii="Times New Roman" w:hAnsi="Times New Roman"/>
          <w:sz w:val="20"/>
          <w:szCs w:val="20"/>
        </w:rPr>
        <w:t>4</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proofErr w:type="spellStart"/>
            <w:r w:rsidRPr="007F7C6A">
              <w:rPr>
                <w:rFonts w:ascii="Times New Roman" w:hAnsi="Times New Roman"/>
                <w:b/>
              </w:rPr>
              <w:t>м.п</w:t>
            </w:r>
            <w:proofErr w:type="spellEnd"/>
            <w:r w:rsidRPr="007F7C6A">
              <w:rPr>
                <w:rFonts w:ascii="Times New Roman" w:hAnsi="Times New Roman"/>
                <w:b/>
              </w:rPr>
              <w:t>.</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proofErr w:type="spellStart"/>
            <w:r w:rsidRPr="007F7C6A">
              <w:rPr>
                <w:rFonts w:ascii="Times New Roman" w:hAnsi="Times New Roman"/>
                <w:b/>
                <w:bCs/>
              </w:rPr>
              <w:t>м.п</w:t>
            </w:r>
            <w:proofErr w:type="spellEnd"/>
            <w:r w:rsidRPr="007F7C6A">
              <w:rPr>
                <w:rFonts w:ascii="Times New Roman" w:hAnsi="Times New Roman"/>
                <w:b/>
                <w:bCs/>
              </w:rPr>
              <w:t>.</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АЗС: </w:t>
      </w:r>
      <w:r w:rsidRPr="007F7C6A">
        <w:rPr>
          <w:rFonts w:ascii="Times New Roman" w:hAnsi="Times New Roman"/>
        </w:rPr>
        <w:t xml:space="preserve"> в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 ______» _____________ 20</w:t>
      </w:r>
      <w:r w:rsidR="00221CE0">
        <w:rPr>
          <w:rFonts w:ascii="Times New Roman" w:hAnsi="Times New Roman"/>
          <w:sz w:val="20"/>
          <w:szCs w:val="20"/>
        </w:rPr>
        <w:t>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Ind w:w="-37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 </w:t>
            </w:r>
            <w:proofErr w:type="gramStart"/>
            <w:r w:rsidRPr="007F7C6A">
              <w:rPr>
                <w:rFonts w:ascii="Times New Roman" w:hAnsi="Times New Roman"/>
                <w:b/>
                <w:spacing w:val="-4"/>
                <w:sz w:val="24"/>
                <w:szCs w:val="24"/>
              </w:rPr>
              <w:t>п</w:t>
            </w:r>
            <w:proofErr w:type="gramEnd"/>
            <w:r w:rsidRPr="007F7C6A">
              <w:rPr>
                <w:rFonts w:ascii="Times New Roman" w:hAnsi="Times New Roman"/>
                <w:b/>
                <w:spacing w:val="-4"/>
                <w:sz w:val="24"/>
                <w:szCs w:val="24"/>
              </w:rPr>
              <w:t>/п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Общий лимит </w:t>
            </w:r>
            <w:proofErr w:type="gramStart"/>
            <w:r w:rsidRPr="007F7C6A">
              <w:rPr>
                <w:rFonts w:ascii="Times New Roman" w:hAnsi="Times New Roman"/>
                <w:b/>
                <w:spacing w:val="-4"/>
                <w:sz w:val="24"/>
                <w:szCs w:val="24"/>
              </w:rPr>
              <w:t>л</w:t>
            </w:r>
            <w:proofErr w:type="gramEnd"/>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Максимальная выборка, </w:t>
            </w:r>
            <w:proofErr w:type="gramStart"/>
            <w:r w:rsidRPr="007F7C6A">
              <w:rPr>
                <w:rFonts w:ascii="Times New Roman" w:hAnsi="Times New Roman"/>
                <w:b/>
                <w:spacing w:val="-4"/>
                <w:sz w:val="24"/>
                <w:szCs w:val="24"/>
              </w:rPr>
              <w:t>л</w:t>
            </w:r>
            <w:proofErr w:type="gramEnd"/>
            <w:r w:rsidRPr="007F7C6A">
              <w:rPr>
                <w:rFonts w:ascii="Times New Roman" w:hAnsi="Times New Roman"/>
                <w:b/>
                <w:spacing w:val="-4"/>
                <w:sz w:val="24"/>
                <w:szCs w:val="24"/>
              </w:rPr>
              <w:t>/сутки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«____»   _______  20</w:t>
      </w:r>
      <w:r w:rsidR="00221CE0">
        <w:rPr>
          <w:rFonts w:ascii="Times New Roman" w:hAnsi="Times New Roman"/>
          <w:sz w:val="24"/>
          <w:szCs w:val="24"/>
        </w:rPr>
        <w:t>2</w:t>
      </w:r>
      <w:r w:rsidR="005C7746">
        <w:rPr>
          <w:rFonts w:ascii="Times New Roman" w:hAnsi="Times New Roman"/>
          <w:sz w:val="24"/>
          <w:szCs w:val="24"/>
        </w:rPr>
        <w:t>4</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proofErr w:type="gramStart"/>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условиях  договора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roofErr w:type="gramEnd"/>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r w:rsidRPr="007F7C6A">
        <w:rPr>
          <w:rFonts w:ascii="Times New Roman" w:hAnsi="Times New Roman"/>
          <w:sz w:val="24"/>
          <w:szCs w:val="24"/>
        </w:rPr>
        <w:t xml:space="preserve">Карты  являются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2415CC">
        <w:rPr>
          <w:rFonts w:ascii="Times New Roman" w:hAnsi="Times New Roman"/>
          <w:sz w:val="20"/>
          <w:szCs w:val="20"/>
        </w:rPr>
        <w:t>1</w:t>
      </w:r>
      <w:r w:rsidR="005C7746">
        <w:rPr>
          <w:rFonts w:ascii="Times New Roman" w:hAnsi="Times New Roman"/>
          <w:sz w:val="20"/>
          <w:szCs w:val="20"/>
        </w:rPr>
        <w:t>8</w:t>
      </w:r>
      <w:r>
        <w:rPr>
          <w:rFonts w:ascii="Times New Roman" w:hAnsi="Times New Roman"/>
          <w:sz w:val="20"/>
          <w:szCs w:val="20"/>
        </w:rPr>
        <w:t>-2</w:t>
      </w:r>
      <w:r w:rsidR="00EC3CF3">
        <w:rPr>
          <w:rFonts w:ascii="Times New Roman" w:hAnsi="Times New Roman"/>
          <w:sz w:val="20"/>
          <w:szCs w:val="20"/>
        </w:rPr>
        <w:t>3</w:t>
      </w:r>
      <w:r>
        <w:rPr>
          <w:rFonts w:ascii="Times New Roman" w:hAnsi="Times New Roman"/>
          <w:sz w:val="20"/>
          <w:szCs w:val="20"/>
        </w:rPr>
        <w:t>-ЗК</w:t>
      </w:r>
      <w:r w:rsidRPr="0083796B">
        <w:rPr>
          <w:rFonts w:ascii="Times New Roman" w:hAnsi="Times New Roman"/>
          <w:sz w:val="20"/>
          <w:szCs w:val="20"/>
        </w:rPr>
        <w:t xml:space="preserve">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РАЗДЕЛ 9.</w:t>
      </w:r>
      <w:r>
        <w:rPr>
          <w:rFonts w:ascii="Times New Roman" w:hAnsi="Times New Roman"/>
          <w:b/>
          <w:sz w:val="24"/>
          <w:szCs w:val="24"/>
        </w:rPr>
        <w:t>ТЕХНИЧЕСКОЕ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r>
        <w:rPr>
          <w:rFonts w:ascii="Times New Roman" w:hAnsi="Times New Roman"/>
          <w:b/>
          <w:sz w:val="24"/>
          <w:szCs w:val="24"/>
        </w:rPr>
        <w:t xml:space="preserve">Условия  поставки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F868B1">
        <w:rPr>
          <w:rFonts w:ascii="Times New Roman" w:hAnsi="Times New Roman"/>
          <w:sz w:val="24"/>
          <w:szCs w:val="24"/>
        </w:rPr>
        <w:t>момента подписания</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proofErr w:type="gramStart"/>
      <w:r>
        <w:rPr>
          <w:rFonts w:ascii="Times New Roman" w:hAnsi="Times New Roman"/>
          <w:sz w:val="24"/>
          <w:szCs w:val="24"/>
        </w:rPr>
        <w:t>Заправка</w:t>
      </w:r>
      <w:proofErr w:type="gramEnd"/>
      <w:r>
        <w:rPr>
          <w:rFonts w:ascii="Times New Roman" w:hAnsi="Times New Roman"/>
          <w:sz w:val="24"/>
          <w:szCs w:val="24"/>
        </w:rPr>
        <w:t xml:space="preserve">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p>
    <w:p w:rsidR="000E2F33" w:rsidRDefault="000E2F33" w:rsidP="000E2F33">
      <w:pPr>
        <w:widowControl w:val="0"/>
        <w:shd w:val="clear" w:color="auto" w:fill="FFFFFF"/>
        <w:spacing w:after="0" w:line="240" w:lineRule="auto"/>
        <w:ind w:left="1428"/>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одновременно всех видов топлива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классом  и техническими параметрами не ниже ЕВРО -5.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Обязательное представление перечня АЗС (в пределах Ленинградской области) на которых будет осуществляться заправка.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на  период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Качество поставляемого товара  должно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4. Требуемое количество (требуемые объемы) и характеристики  поставляемых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116"/>
        <w:gridCol w:w="2208"/>
        <w:gridCol w:w="2046"/>
        <w:gridCol w:w="1317"/>
      </w:tblGrid>
      <w:tr w:rsidR="000E2F33" w:rsidTr="0065455B">
        <w:trPr>
          <w:trHeight w:val="882"/>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Марка топлива</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 xml:space="preserve">Цена </w:t>
            </w:r>
            <w:proofErr w:type="gramStart"/>
            <w:r>
              <w:rPr>
                <w:rStyle w:val="FontStyle20"/>
                <w:lang w:eastAsia="en-US"/>
              </w:rPr>
              <w:t>на</w:t>
            </w:r>
            <w:proofErr w:type="gramEnd"/>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65455B">
        <w:trPr>
          <w:trHeight w:val="947"/>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lastRenderedPageBreak/>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65455B">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D93168" w:rsidTr="0065455B">
        <w:tc>
          <w:tcPr>
            <w:tcW w:w="1919" w:type="dxa"/>
            <w:tcBorders>
              <w:top w:val="single" w:sz="4" w:space="0" w:color="auto"/>
              <w:left w:val="single" w:sz="4" w:space="0" w:color="auto"/>
              <w:bottom w:val="single" w:sz="4" w:space="0" w:color="auto"/>
              <w:right w:val="single" w:sz="4" w:space="0" w:color="auto"/>
            </w:tcBorders>
          </w:tcPr>
          <w:p w:rsidR="00D93168" w:rsidRDefault="00D93168" w:rsidP="00FC41E0">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ДТ-</w:t>
            </w:r>
            <w:r w:rsidR="00FC41E0">
              <w:rPr>
                <w:rFonts w:ascii="Times New Roman" w:hAnsi="Times New Roman"/>
                <w:snapToGrid w:val="0"/>
                <w:sz w:val="20"/>
                <w:szCs w:val="20"/>
                <w:lang w:eastAsia="en-US"/>
              </w:rPr>
              <w:t>Е</w:t>
            </w:r>
            <w:r>
              <w:rPr>
                <w:rFonts w:ascii="Times New Roman" w:hAnsi="Times New Roman"/>
                <w:snapToGrid w:val="0"/>
                <w:sz w:val="20"/>
                <w:szCs w:val="20"/>
                <w:lang w:eastAsia="en-US"/>
              </w:rPr>
              <w:t>-К5</w:t>
            </w:r>
          </w:p>
        </w:tc>
        <w:tc>
          <w:tcPr>
            <w:tcW w:w="2116" w:type="dxa"/>
            <w:tcBorders>
              <w:top w:val="single" w:sz="4" w:space="0" w:color="auto"/>
              <w:left w:val="single" w:sz="4" w:space="0" w:color="auto"/>
              <w:bottom w:val="single" w:sz="4" w:space="0" w:color="auto"/>
              <w:right w:val="single" w:sz="4" w:space="0" w:color="auto"/>
            </w:tcBorders>
          </w:tcPr>
          <w:p w:rsidR="00D93168" w:rsidRPr="00D93168" w:rsidRDefault="00D93168" w:rsidP="000A7BDD">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D93168" w:rsidRPr="00D93168" w:rsidRDefault="00D93168" w:rsidP="000A7BDD">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D93168" w:rsidRPr="00D93168" w:rsidRDefault="00A80F6B" w:rsidP="005C7746">
            <w:pPr>
              <w:rPr>
                <w:rFonts w:ascii="Times New Roman" w:hAnsi="Times New Roman"/>
                <w:b/>
                <w:sz w:val="20"/>
                <w:szCs w:val="20"/>
              </w:rPr>
            </w:pPr>
            <w:r>
              <w:rPr>
                <w:rFonts w:ascii="Times New Roman" w:hAnsi="Times New Roman"/>
                <w:b/>
                <w:sz w:val="20"/>
                <w:szCs w:val="20"/>
              </w:rPr>
              <w:t>1</w:t>
            </w:r>
            <w:r w:rsidR="005C7746">
              <w:rPr>
                <w:rFonts w:ascii="Times New Roman" w:hAnsi="Times New Roman"/>
                <w:b/>
                <w:sz w:val="20"/>
                <w:szCs w:val="20"/>
              </w:rPr>
              <w:t>0</w:t>
            </w:r>
            <w:r w:rsidR="00D93168"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D93168" w:rsidRDefault="00D93168">
            <w:pPr>
              <w:rPr>
                <w:rFonts w:ascii="Times New Roman" w:eastAsia="Calibri" w:hAnsi="Times New Roman"/>
                <w:sz w:val="20"/>
                <w:szCs w:val="20"/>
                <w:lang w:eastAsia="en-US"/>
              </w:rPr>
            </w:pPr>
          </w:p>
        </w:tc>
      </w:tr>
      <w:tr w:rsidR="00FC41E0" w:rsidTr="0065455B">
        <w:tc>
          <w:tcPr>
            <w:tcW w:w="1919" w:type="dxa"/>
            <w:tcBorders>
              <w:top w:val="single" w:sz="4" w:space="0" w:color="auto"/>
              <w:left w:val="single" w:sz="4" w:space="0" w:color="auto"/>
              <w:bottom w:val="single" w:sz="4" w:space="0" w:color="auto"/>
              <w:right w:val="single" w:sz="4" w:space="0" w:color="auto"/>
            </w:tcBorders>
          </w:tcPr>
          <w:p w:rsidR="00FC41E0" w:rsidRDefault="00FC41E0" w:rsidP="00FC41E0">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ДТ-З-К5</w:t>
            </w:r>
          </w:p>
        </w:tc>
        <w:tc>
          <w:tcPr>
            <w:tcW w:w="2116"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FC41E0" w:rsidRPr="00D93168" w:rsidRDefault="005C7746" w:rsidP="005C7746">
            <w:pPr>
              <w:rPr>
                <w:rFonts w:ascii="Times New Roman" w:hAnsi="Times New Roman"/>
                <w:b/>
                <w:sz w:val="20"/>
                <w:szCs w:val="20"/>
              </w:rPr>
            </w:pPr>
            <w:r>
              <w:rPr>
                <w:rFonts w:ascii="Times New Roman" w:hAnsi="Times New Roman"/>
                <w:b/>
                <w:sz w:val="20"/>
                <w:szCs w:val="20"/>
              </w:rPr>
              <w:t>20</w:t>
            </w:r>
            <w:r w:rsidR="00FC41E0"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FC41E0" w:rsidRDefault="00FC41E0" w:rsidP="005C7746">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5C7746" w:rsidRDefault="00C856B5" w:rsidP="000E2F33">
      <w:pPr>
        <w:widowControl w:val="0"/>
        <w:spacing w:after="0" w:line="240" w:lineRule="auto"/>
        <w:rPr>
          <w:rFonts w:ascii="Times New Roman" w:hAnsi="Times New Roman"/>
          <w:bCs/>
          <w:sz w:val="24"/>
          <w:szCs w:val="24"/>
        </w:rPr>
      </w:pPr>
      <w:r>
        <w:rPr>
          <w:rFonts w:ascii="Times New Roman" w:hAnsi="Times New Roman"/>
          <w:b/>
          <w:sz w:val="24"/>
          <w:szCs w:val="24"/>
        </w:rPr>
        <w:t xml:space="preserve">4 076 000 </w:t>
      </w:r>
      <w:r w:rsidRPr="005C7746">
        <w:rPr>
          <w:rFonts w:ascii="Times New Roman" w:hAnsi="Times New Roman"/>
          <w:b/>
          <w:sz w:val="24"/>
          <w:szCs w:val="24"/>
        </w:rPr>
        <w:t>рубле</w:t>
      </w:r>
      <w:r w:rsidR="00F95C8C" w:rsidRPr="005C7746">
        <w:rPr>
          <w:rFonts w:ascii="Times New Roman" w:hAnsi="Times New Roman"/>
          <w:b/>
          <w:sz w:val="24"/>
          <w:szCs w:val="24"/>
        </w:rPr>
        <w:t>й 00 копеек (</w:t>
      </w:r>
      <w:r w:rsidR="005C7746" w:rsidRPr="005C7746">
        <w:rPr>
          <w:rFonts w:ascii="Times New Roman" w:hAnsi="Times New Roman"/>
          <w:b/>
          <w:sz w:val="24"/>
          <w:szCs w:val="24"/>
        </w:rPr>
        <w:t>Четыре</w:t>
      </w:r>
      <w:r w:rsidR="00F95C8C" w:rsidRPr="005C7746">
        <w:rPr>
          <w:rFonts w:ascii="Times New Roman" w:hAnsi="Times New Roman"/>
          <w:b/>
          <w:sz w:val="24"/>
          <w:szCs w:val="24"/>
        </w:rPr>
        <w:t xml:space="preserve"> миллиона </w:t>
      </w:r>
      <w:r w:rsidR="005C7746">
        <w:rPr>
          <w:rFonts w:ascii="Times New Roman" w:hAnsi="Times New Roman"/>
          <w:b/>
          <w:sz w:val="24"/>
          <w:szCs w:val="24"/>
        </w:rPr>
        <w:t>семьдесят шесть</w:t>
      </w:r>
      <w:r w:rsidR="00654881" w:rsidRPr="005C7746">
        <w:rPr>
          <w:rFonts w:ascii="Times New Roman" w:hAnsi="Times New Roman"/>
          <w:b/>
          <w:sz w:val="24"/>
          <w:szCs w:val="24"/>
        </w:rPr>
        <w:t xml:space="preserve"> тысяч</w:t>
      </w:r>
      <w:r w:rsidR="00EC3CF3" w:rsidRPr="005C7746">
        <w:rPr>
          <w:rFonts w:ascii="Times New Roman" w:hAnsi="Times New Roman"/>
          <w:b/>
          <w:sz w:val="24"/>
          <w:szCs w:val="24"/>
        </w:rPr>
        <w:t>)</w:t>
      </w:r>
      <w:r w:rsidR="00F95C8C" w:rsidRPr="005C7746">
        <w:rPr>
          <w:rFonts w:ascii="Times New Roman" w:hAnsi="Times New Roman"/>
          <w:b/>
          <w:sz w:val="24"/>
          <w:szCs w:val="24"/>
        </w:rPr>
        <w:t xml:space="preserve"> рублей 00 копеек, в том числе НДС 20%  </w:t>
      </w:r>
      <w:r w:rsidR="00033A26" w:rsidRPr="005C7746">
        <w:rPr>
          <w:rFonts w:ascii="Times New Roman" w:hAnsi="Times New Roman"/>
          <w:b/>
          <w:sz w:val="24"/>
          <w:szCs w:val="24"/>
        </w:rPr>
        <w:t xml:space="preserve">- </w:t>
      </w:r>
      <w:r w:rsidR="00654881" w:rsidRPr="005C7746">
        <w:rPr>
          <w:rFonts w:ascii="Times New Roman" w:hAnsi="Times New Roman"/>
          <w:b/>
          <w:sz w:val="24"/>
          <w:szCs w:val="24"/>
        </w:rPr>
        <w:t>6</w:t>
      </w:r>
      <w:r w:rsidR="005C7746">
        <w:rPr>
          <w:rFonts w:ascii="Times New Roman" w:hAnsi="Times New Roman"/>
          <w:b/>
          <w:sz w:val="24"/>
          <w:szCs w:val="24"/>
        </w:rPr>
        <w:t>79 333</w:t>
      </w:r>
      <w:r w:rsidR="00F95C8C" w:rsidRPr="005C7746">
        <w:rPr>
          <w:rFonts w:ascii="Times New Roman" w:hAnsi="Times New Roman"/>
          <w:b/>
          <w:sz w:val="24"/>
          <w:szCs w:val="24"/>
        </w:rPr>
        <w:t xml:space="preserve"> рублей </w:t>
      </w:r>
      <w:r w:rsidR="005C7746">
        <w:rPr>
          <w:rFonts w:ascii="Times New Roman" w:hAnsi="Times New Roman"/>
          <w:b/>
          <w:sz w:val="24"/>
          <w:szCs w:val="24"/>
        </w:rPr>
        <w:t>33</w:t>
      </w:r>
      <w:r w:rsidR="00F95C8C" w:rsidRPr="005C7746">
        <w:rPr>
          <w:rFonts w:ascii="Times New Roman" w:hAnsi="Times New Roman"/>
          <w:b/>
          <w:sz w:val="24"/>
          <w:szCs w:val="24"/>
        </w:rPr>
        <w:t xml:space="preserve"> копеек</w:t>
      </w:r>
      <w:r w:rsidR="00EC3CF3" w:rsidRPr="005C7746">
        <w:rPr>
          <w:rFonts w:ascii="Times New Roman" w:hAnsi="Times New Roman"/>
          <w:b/>
          <w:sz w:val="24"/>
          <w:szCs w:val="24"/>
        </w:rPr>
        <w:t>.</w:t>
      </w:r>
    </w:p>
    <w:p w:rsidR="000E2F33" w:rsidRPr="005C7746" w:rsidRDefault="000E2F33" w:rsidP="000E2F33">
      <w:pPr>
        <w:pStyle w:val="aff3"/>
        <w:jc w:val="both"/>
        <w:rPr>
          <w:b/>
          <w:sz w:val="24"/>
          <w:szCs w:val="24"/>
          <w:lang w:val="ru-RU"/>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517B0B" w:rsidRDefault="000E2F33" w:rsidP="008A55D0">
      <w:pPr>
        <w:rPr>
          <w:lang w:eastAsia="x-none"/>
        </w:rPr>
      </w:pPr>
      <w:r>
        <w:rPr>
          <w:rFonts w:ascii="Times New Roman" w:hAnsi="Times New Roman"/>
          <w:b/>
          <w:sz w:val="24"/>
          <w:szCs w:val="24"/>
        </w:rPr>
        <w:t>ПОКУПАТЕЛЬ</w:t>
      </w:r>
      <w:r>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80" w:rsidRDefault="005A2580" w:rsidP="00B41620">
      <w:pPr>
        <w:spacing w:after="0" w:line="240" w:lineRule="auto"/>
      </w:pPr>
      <w:r>
        <w:separator/>
      </w:r>
    </w:p>
  </w:endnote>
  <w:endnote w:type="continuationSeparator" w:id="0">
    <w:p w:rsidR="005A2580" w:rsidRDefault="005A2580"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46" w:rsidRDefault="005C7746">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80" w:rsidRDefault="005A2580" w:rsidP="00B41620">
      <w:pPr>
        <w:spacing w:after="0" w:line="240" w:lineRule="auto"/>
      </w:pPr>
      <w:r>
        <w:separator/>
      </w:r>
    </w:p>
  </w:footnote>
  <w:footnote w:type="continuationSeparator" w:id="0">
    <w:p w:rsidR="005A2580" w:rsidRDefault="005A2580" w:rsidP="00B41620">
      <w:pPr>
        <w:spacing w:after="0" w:line="240" w:lineRule="auto"/>
      </w:pPr>
      <w:r>
        <w:continuationSeparator/>
      </w:r>
    </w:p>
  </w:footnote>
  <w:footnote w:id="1">
    <w:p w:rsidR="005C7746" w:rsidRDefault="005C7746"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8">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4">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6">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36"/>
  </w:num>
  <w:num w:numId="21">
    <w:abstractNumId w:val="25"/>
  </w:num>
  <w:num w:numId="22">
    <w:abstractNumId w:val="47"/>
  </w:num>
  <w:num w:numId="23">
    <w:abstractNumId w:val="9"/>
  </w:num>
  <w:num w:numId="24">
    <w:abstractNumId w:val="14"/>
  </w:num>
  <w:num w:numId="25">
    <w:abstractNumId w:val="26"/>
  </w:num>
  <w:num w:numId="26">
    <w:abstractNumId w:val="28"/>
  </w:num>
  <w:num w:numId="27">
    <w:abstractNumId w:val="7"/>
  </w:num>
  <w:num w:numId="28">
    <w:abstractNumId w:val="3"/>
  </w:num>
  <w:num w:numId="29">
    <w:abstractNumId w:val="39"/>
  </w:num>
  <w:num w:numId="30">
    <w:abstractNumId w:val="44"/>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43"/>
  </w:num>
  <w:num w:numId="36">
    <w:abstractNumId w:val="40"/>
  </w:num>
  <w:num w:numId="37">
    <w:abstractNumId w:val="33"/>
  </w:num>
  <w:num w:numId="38">
    <w:abstractNumId w:val="48"/>
  </w:num>
  <w:num w:numId="39">
    <w:abstractNumId w:val="13"/>
  </w:num>
  <w:num w:numId="40">
    <w:abstractNumId w:val="3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3D95"/>
    <w:rsid w:val="000245BB"/>
    <w:rsid w:val="00025754"/>
    <w:rsid w:val="0002690D"/>
    <w:rsid w:val="0002709B"/>
    <w:rsid w:val="000272BE"/>
    <w:rsid w:val="00030666"/>
    <w:rsid w:val="00032313"/>
    <w:rsid w:val="00033A26"/>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DBF"/>
    <w:rsid w:val="000D1179"/>
    <w:rsid w:val="000D2FCA"/>
    <w:rsid w:val="000D3FC9"/>
    <w:rsid w:val="000D4DE3"/>
    <w:rsid w:val="000D527F"/>
    <w:rsid w:val="000D631C"/>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5A8D"/>
    <w:rsid w:val="00117A52"/>
    <w:rsid w:val="001242AB"/>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0612"/>
    <w:rsid w:val="00183700"/>
    <w:rsid w:val="0018421D"/>
    <w:rsid w:val="0018544E"/>
    <w:rsid w:val="0018782D"/>
    <w:rsid w:val="00193440"/>
    <w:rsid w:val="0019767D"/>
    <w:rsid w:val="001A385C"/>
    <w:rsid w:val="001B03EE"/>
    <w:rsid w:val="001B07D6"/>
    <w:rsid w:val="001B1190"/>
    <w:rsid w:val="001B21AA"/>
    <w:rsid w:val="001B2247"/>
    <w:rsid w:val="001B235D"/>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123EC"/>
    <w:rsid w:val="00217A61"/>
    <w:rsid w:val="002216A8"/>
    <w:rsid w:val="00221CE0"/>
    <w:rsid w:val="00222B57"/>
    <w:rsid w:val="002265EF"/>
    <w:rsid w:val="00231635"/>
    <w:rsid w:val="00234BE4"/>
    <w:rsid w:val="00235809"/>
    <w:rsid w:val="00235CC3"/>
    <w:rsid w:val="002408A6"/>
    <w:rsid w:val="002415CC"/>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279BE"/>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60303"/>
    <w:rsid w:val="00461248"/>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5216"/>
    <w:rsid w:val="004B5E2B"/>
    <w:rsid w:val="004B6807"/>
    <w:rsid w:val="004B68AD"/>
    <w:rsid w:val="004D04BB"/>
    <w:rsid w:val="004D0BF3"/>
    <w:rsid w:val="004D6103"/>
    <w:rsid w:val="004E1E2D"/>
    <w:rsid w:val="004E3CA5"/>
    <w:rsid w:val="004E3EDB"/>
    <w:rsid w:val="004E4CAD"/>
    <w:rsid w:val="004E59CA"/>
    <w:rsid w:val="004E6337"/>
    <w:rsid w:val="004F0B20"/>
    <w:rsid w:val="004F569F"/>
    <w:rsid w:val="004F6D38"/>
    <w:rsid w:val="004F71AB"/>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70828"/>
    <w:rsid w:val="0057141C"/>
    <w:rsid w:val="00572D74"/>
    <w:rsid w:val="00573954"/>
    <w:rsid w:val="00582AAA"/>
    <w:rsid w:val="00583B6B"/>
    <w:rsid w:val="00583CD5"/>
    <w:rsid w:val="00584D43"/>
    <w:rsid w:val="00584EE1"/>
    <w:rsid w:val="005856DD"/>
    <w:rsid w:val="00586155"/>
    <w:rsid w:val="00586AFE"/>
    <w:rsid w:val="0059063D"/>
    <w:rsid w:val="005A2580"/>
    <w:rsid w:val="005B3AAA"/>
    <w:rsid w:val="005B799A"/>
    <w:rsid w:val="005B7E0A"/>
    <w:rsid w:val="005C7746"/>
    <w:rsid w:val="005D45EB"/>
    <w:rsid w:val="005D47F0"/>
    <w:rsid w:val="005D506C"/>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881"/>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C6159"/>
    <w:rsid w:val="006C7E14"/>
    <w:rsid w:val="006D076C"/>
    <w:rsid w:val="006D0FC1"/>
    <w:rsid w:val="006D4999"/>
    <w:rsid w:val="006E0B23"/>
    <w:rsid w:val="006E24E9"/>
    <w:rsid w:val="006E29CE"/>
    <w:rsid w:val="006F1CEA"/>
    <w:rsid w:val="00711570"/>
    <w:rsid w:val="00711C4A"/>
    <w:rsid w:val="00713CDA"/>
    <w:rsid w:val="00714036"/>
    <w:rsid w:val="00714D5C"/>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C17"/>
    <w:rsid w:val="00772F59"/>
    <w:rsid w:val="007758C8"/>
    <w:rsid w:val="00776B0B"/>
    <w:rsid w:val="00784DDA"/>
    <w:rsid w:val="0078542A"/>
    <w:rsid w:val="007857EB"/>
    <w:rsid w:val="00787473"/>
    <w:rsid w:val="00787525"/>
    <w:rsid w:val="00792B83"/>
    <w:rsid w:val="00793A99"/>
    <w:rsid w:val="007A0459"/>
    <w:rsid w:val="007A39CF"/>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3796B"/>
    <w:rsid w:val="008439BC"/>
    <w:rsid w:val="00856C4D"/>
    <w:rsid w:val="00862BC9"/>
    <w:rsid w:val="00864F51"/>
    <w:rsid w:val="00866A43"/>
    <w:rsid w:val="00866DB5"/>
    <w:rsid w:val="00870BE0"/>
    <w:rsid w:val="00884186"/>
    <w:rsid w:val="0088623B"/>
    <w:rsid w:val="008867EC"/>
    <w:rsid w:val="00887092"/>
    <w:rsid w:val="00893038"/>
    <w:rsid w:val="00894C3C"/>
    <w:rsid w:val="00897217"/>
    <w:rsid w:val="008A0547"/>
    <w:rsid w:val="008A1444"/>
    <w:rsid w:val="008A4E96"/>
    <w:rsid w:val="008A55D0"/>
    <w:rsid w:val="008A5B30"/>
    <w:rsid w:val="008B0E2E"/>
    <w:rsid w:val="008B2926"/>
    <w:rsid w:val="008B3FCF"/>
    <w:rsid w:val="008B4E71"/>
    <w:rsid w:val="008B7240"/>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4EE8"/>
    <w:rsid w:val="00937728"/>
    <w:rsid w:val="00942467"/>
    <w:rsid w:val="00944AAE"/>
    <w:rsid w:val="00945A6D"/>
    <w:rsid w:val="00945F1B"/>
    <w:rsid w:val="00950275"/>
    <w:rsid w:val="009536B6"/>
    <w:rsid w:val="00953727"/>
    <w:rsid w:val="009548BF"/>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3D2A"/>
    <w:rsid w:val="009E5004"/>
    <w:rsid w:val="009E6F6E"/>
    <w:rsid w:val="009F1BA0"/>
    <w:rsid w:val="009F4A34"/>
    <w:rsid w:val="009F69BB"/>
    <w:rsid w:val="009F7EE3"/>
    <w:rsid w:val="009F7EEF"/>
    <w:rsid w:val="00A00339"/>
    <w:rsid w:val="00A03166"/>
    <w:rsid w:val="00A052A7"/>
    <w:rsid w:val="00A05847"/>
    <w:rsid w:val="00A06B3E"/>
    <w:rsid w:val="00A102FF"/>
    <w:rsid w:val="00A12C70"/>
    <w:rsid w:val="00A1486D"/>
    <w:rsid w:val="00A15F76"/>
    <w:rsid w:val="00A208E3"/>
    <w:rsid w:val="00A2343A"/>
    <w:rsid w:val="00A30765"/>
    <w:rsid w:val="00A3612C"/>
    <w:rsid w:val="00A37112"/>
    <w:rsid w:val="00A37FF9"/>
    <w:rsid w:val="00A4003C"/>
    <w:rsid w:val="00A40CD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0F6B"/>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2FC6"/>
    <w:rsid w:val="00B231CB"/>
    <w:rsid w:val="00B25AB0"/>
    <w:rsid w:val="00B31E5E"/>
    <w:rsid w:val="00B37E43"/>
    <w:rsid w:val="00B41620"/>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3F25"/>
    <w:rsid w:val="00B73F80"/>
    <w:rsid w:val="00B74380"/>
    <w:rsid w:val="00B77DB1"/>
    <w:rsid w:val="00B8046B"/>
    <w:rsid w:val="00B80A42"/>
    <w:rsid w:val="00B83F22"/>
    <w:rsid w:val="00B92EF4"/>
    <w:rsid w:val="00B931CB"/>
    <w:rsid w:val="00B93A27"/>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7948"/>
    <w:rsid w:val="00C82690"/>
    <w:rsid w:val="00C82B52"/>
    <w:rsid w:val="00C84F4D"/>
    <w:rsid w:val="00C856B5"/>
    <w:rsid w:val="00C86323"/>
    <w:rsid w:val="00C92CE9"/>
    <w:rsid w:val="00CA0662"/>
    <w:rsid w:val="00CA2E98"/>
    <w:rsid w:val="00CA432B"/>
    <w:rsid w:val="00CA5399"/>
    <w:rsid w:val="00CA619A"/>
    <w:rsid w:val="00CB20F3"/>
    <w:rsid w:val="00CB6D72"/>
    <w:rsid w:val="00CC0048"/>
    <w:rsid w:val="00CC08CD"/>
    <w:rsid w:val="00CC3077"/>
    <w:rsid w:val="00CC35E1"/>
    <w:rsid w:val="00CC68D9"/>
    <w:rsid w:val="00CC7458"/>
    <w:rsid w:val="00CC79BC"/>
    <w:rsid w:val="00CD2EBA"/>
    <w:rsid w:val="00CD4440"/>
    <w:rsid w:val="00CD49A8"/>
    <w:rsid w:val="00CD6424"/>
    <w:rsid w:val="00CE0E72"/>
    <w:rsid w:val="00CE12D9"/>
    <w:rsid w:val="00CE2AC6"/>
    <w:rsid w:val="00CE3731"/>
    <w:rsid w:val="00CE58CE"/>
    <w:rsid w:val="00CE6CA0"/>
    <w:rsid w:val="00CE78B0"/>
    <w:rsid w:val="00CF5C40"/>
    <w:rsid w:val="00CF5F4A"/>
    <w:rsid w:val="00D01580"/>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503F"/>
    <w:rsid w:val="00D855FB"/>
    <w:rsid w:val="00D90EC7"/>
    <w:rsid w:val="00D924CE"/>
    <w:rsid w:val="00D92778"/>
    <w:rsid w:val="00D93168"/>
    <w:rsid w:val="00D9472C"/>
    <w:rsid w:val="00D958EA"/>
    <w:rsid w:val="00D97BC6"/>
    <w:rsid w:val="00DA1CE9"/>
    <w:rsid w:val="00DA4945"/>
    <w:rsid w:val="00DA64B6"/>
    <w:rsid w:val="00DB48BF"/>
    <w:rsid w:val="00DB51FD"/>
    <w:rsid w:val="00DC0335"/>
    <w:rsid w:val="00DC035D"/>
    <w:rsid w:val="00DC2E12"/>
    <w:rsid w:val="00DC4387"/>
    <w:rsid w:val="00DC524E"/>
    <w:rsid w:val="00DD18BA"/>
    <w:rsid w:val="00DD20C4"/>
    <w:rsid w:val="00DD2733"/>
    <w:rsid w:val="00DD7DB4"/>
    <w:rsid w:val="00DE0F3E"/>
    <w:rsid w:val="00DE0FD1"/>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263A"/>
    <w:rsid w:val="00EC265E"/>
    <w:rsid w:val="00EC3CF3"/>
    <w:rsid w:val="00EC7F31"/>
    <w:rsid w:val="00ED6DF2"/>
    <w:rsid w:val="00EE14CA"/>
    <w:rsid w:val="00EE20B2"/>
    <w:rsid w:val="00EE7CD7"/>
    <w:rsid w:val="00EF19A4"/>
    <w:rsid w:val="00EF30FF"/>
    <w:rsid w:val="00EF3BAE"/>
    <w:rsid w:val="00EF3E30"/>
    <w:rsid w:val="00EF42DA"/>
    <w:rsid w:val="00EF5066"/>
    <w:rsid w:val="00EF6CC3"/>
    <w:rsid w:val="00EF6EC6"/>
    <w:rsid w:val="00F02041"/>
    <w:rsid w:val="00F02963"/>
    <w:rsid w:val="00F055F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32E2"/>
    <w:rsid w:val="00FB62BE"/>
    <w:rsid w:val="00FC0BDD"/>
    <w:rsid w:val="00FC281D"/>
    <w:rsid w:val="00FC41E0"/>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EDCE-10B2-4495-A2D9-51DC5C5E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Pages>
  <Words>16306</Words>
  <Characters>92948</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109036</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87</cp:revision>
  <cp:lastPrinted>2023-12-18T05:12:00Z</cp:lastPrinted>
  <dcterms:created xsi:type="dcterms:W3CDTF">2021-03-22T13:14:00Z</dcterms:created>
  <dcterms:modified xsi:type="dcterms:W3CDTF">2023-12-18T06:16:00Z</dcterms:modified>
</cp:coreProperties>
</file>